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330" w14:textId="0220E8A5" w:rsidR="005208BD" w:rsidRPr="00BD3050" w:rsidRDefault="005208BD" w:rsidP="001913AD">
      <w:pPr>
        <w:ind w:left="2160" w:firstLine="720"/>
        <w:outlineLvl w:val="0"/>
        <w:rPr>
          <w:b/>
        </w:rPr>
      </w:pPr>
      <w:r w:rsidRPr="00BD3050">
        <w:rPr>
          <w:b/>
        </w:rPr>
        <w:t>DEPARTMENT OF THE NAVY (DON)</w:t>
      </w:r>
    </w:p>
    <w:p w14:paraId="6511A581" w14:textId="28ABB3AA" w:rsidR="005208BD" w:rsidRPr="00BD3050" w:rsidRDefault="005208BD" w:rsidP="005208BD">
      <w:pPr>
        <w:jc w:val="center"/>
        <w:outlineLvl w:val="0"/>
        <w:rPr>
          <w:b/>
        </w:rPr>
      </w:pPr>
      <w:r>
        <w:rPr>
          <w:b/>
        </w:rPr>
        <w:t>20.</w:t>
      </w:r>
      <w:r w:rsidR="00E8325A">
        <w:rPr>
          <w:b/>
        </w:rPr>
        <w:t>2</w:t>
      </w:r>
      <w:r w:rsidRPr="00BD3050">
        <w:rPr>
          <w:b/>
        </w:rPr>
        <w:t xml:space="preserve"> Small Business Innovation Research (SBIR)</w:t>
      </w:r>
    </w:p>
    <w:p w14:paraId="71072120" w14:textId="28C6DA6B" w:rsidR="005208BD" w:rsidRDefault="005208BD" w:rsidP="005208BD">
      <w:pPr>
        <w:pStyle w:val="Header"/>
        <w:jc w:val="center"/>
        <w:rPr>
          <w:b/>
        </w:rPr>
      </w:pPr>
      <w:r w:rsidRPr="00BD3050">
        <w:rPr>
          <w:b/>
        </w:rPr>
        <w:t>Proposal Submission Instructions</w:t>
      </w: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D3050" w14:paraId="34BD252F" w14:textId="77777777" w:rsidTr="001913AD">
        <w:trPr>
          <w:trHeight w:val="3660"/>
          <w:jc w:val="center"/>
        </w:trPr>
        <w:tc>
          <w:tcPr>
            <w:tcW w:w="9330"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47404A4A" w14:textId="457A91A9" w:rsidR="0053763A" w:rsidRPr="0053763A" w:rsidRDefault="0053763A" w:rsidP="0053763A">
            <w:pPr>
              <w:numPr>
                <w:ilvl w:val="0"/>
                <w:numId w:val="3"/>
              </w:numPr>
              <w:contextualSpacing/>
              <w:jc w:val="both"/>
              <w:rPr>
                <w:rFonts w:eastAsia="Times New Roman" w:cs="Times New Roman"/>
                <w:b/>
                <w:sz w:val="22"/>
              </w:rPr>
            </w:pPr>
            <w:r w:rsidRPr="0053763A">
              <w:rPr>
                <w:rFonts w:eastAsia="Times New Roman" w:cs="Times New Roman"/>
                <w:b/>
                <w:sz w:val="22"/>
              </w:rPr>
              <w:t xml:space="preserve">The following instructions apply to </w:t>
            </w:r>
            <w:r w:rsidR="00722D9B">
              <w:rPr>
                <w:rFonts w:eastAsia="Times New Roman" w:cs="Times New Roman"/>
                <w:b/>
                <w:sz w:val="22"/>
              </w:rPr>
              <w:t>SBIR</w:t>
            </w:r>
            <w:r w:rsidRPr="0053763A">
              <w:rPr>
                <w:rFonts w:eastAsia="Times New Roman" w:cs="Times New Roman"/>
                <w:b/>
                <w:sz w:val="22"/>
              </w:rPr>
              <w:t xml:space="preserve"> topics only:</w:t>
            </w:r>
          </w:p>
          <w:p w14:paraId="086EC816" w14:textId="3E6B2164" w:rsidR="0053763A" w:rsidRPr="0053763A" w:rsidRDefault="0053763A" w:rsidP="00722D9B">
            <w:pPr>
              <w:numPr>
                <w:ilvl w:val="1"/>
                <w:numId w:val="3"/>
              </w:numPr>
              <w:contextualSpacing/>
              <w:jc w:val="both"/>
              <w:rPr>
                <w:rFonts w:eastAsia="Times New Roman" w:cs="Times New Roman"/>
                <w:b/>
                <w:sz w:val="22"/>
              </w:rPr>
            </w:pPr>
            <w:r w:rsidRPr="0053763A">
              <w:rPr>
                <w:rFonts w:eastAsia="Times New Roman" w:cs="Times New Roman"/>
                <w:b/>
                <w:sz w:val="22"/>
              </w:rPr>
              <w:t>N20</w:t>
            </w:r>
            <w:r w:rsidR="00722D9B">
              <w:rPr>
                <w:rFonts w:eastAsia="Times New Roman" w:cs="Times New Roman"/>
                <w:b/>
                <w:sz w:val="22"/>
              </w:rPr>
              <w:t>2</w:t>
            </w:r>
            <w:r w:rsidRPr="0053763A">
              <w:rPr>
                <w:rFonts w:eastAsia="Times New Roman" w:cs="Times New Roman"/>
                <w:b/>
                <w:sz w:val="22"/>
              </w:rPr>
              <w:t>-0</w:t>
            </w:r>
            <w:r w:rsidR="00CC644F">
              <w:rPr>
                <w:rFonts w:eastAsia="Times New Roman" w:cs="Times New Roman"/>
                <w:b/>
                <w:sz w:val="22"/>
              </w:rPr>
              <w:t>88</w:t>
            </w:r>
            <w:r w:rsidRPr="0053763A">
              <w:rPr>
                <w:rFonts w:eastAsia="Times New Roman" w:cs="Times New Roman"/>
                <w:b/>
                <w:sz w:val="22"/>
              </w:rPr>
              <w:t xml:space="preserve"> through N20</w:t>
            </w:r>
            <w:r w:rsidR="00722D9B">
              <w:rPr>
                <w:rFonts w:eastAsia="Times New Roman" w:cs="Times New Roman"/>
                <w:b/>
                <w:sz w:val="22"/>
              </w:rPr>
              <w:t>2</w:t>
            </w:r>
            <w:r w:rsidRPr="0053763A">
              <w:rPr>
                <w:rFonts w:eastAsia="Times New Roman" w:cs="Times New Roman"/>
                <w:b/>
                <w:sz w:val="22"/>
              </w:rPr>
              <w:t>-</w:t>
            </w:r>
            <w:r w:rsidR="00CC644F">
              <w:rPr>
                <w:rFonts w:eastAsia="Times New Roman" w:cs="Times New Roman"/>
                <w:b/>
                <w:sz w:val="22"/>
              </w:rPr>
              <w:t>147</w:t>
            </w:r>
          </w:p>
          <w:p w14:paraId="41D3880F" w14:textId="6B177D77" w:rsidR="001913AD" w:rsidRDefault="001913AD" w:rsidP="001913AD">
            <w:pPr>
              <w:contextualSpacing/>
              <w:jc w:val="both"/>
              <w:rPr>
                <w:rFonts w:eastAsia="Times New Roman" w:cs="Times New Roman"/>
                <w:sz w:val="22"/>
              </w:rPr>
            </w:pPr>
          </w:p>
          <w:p w14:paraId="7AA8A021" w14:textId="77777777" w:rsidR="00C773CB" w:rsidRPr="002414AA" w:rsidRDefault="001913AD" w:rsidP="00C773CB">
            <w:pPr>
              <w:ind w:left="360"/>
              <w:contextualSpacing/>
              <w:jc w:val="both"/>
              <w:rPr>
                <w:rFonts w:eastAsia="Times New Roman" w:cs="Times New Roman"/>
                <w:b/>
                <w:sz w:val="22"/>
              </w:rPr>
            </w:pPr>
            <w:bookmarkStart w:id="0" w:name="_Hlk30495859"/>
            <w:r w:rsidRPr="002414AA">
              <w:rPr>
                <w:rFonts w:eastAsia="Times New Roman" w:cs="Times New Roman"/>
                <w:b/>
                <w:sz w:val="22"/>
              </w:rPr>
              <w:t>•</w:t>
            </w:r>
            <w:r w:rsidRPr="002414AA">
              <w:rPr>
                <w:rFonts w:eastAsia="Times New Roman" w:cs="Times New Roman"/>
                <w:b/>
                <w:sz w:val="22"/>
              </w:rPr>
              <w:tab/>
            </w:r>
            <w:r w:rsidR="00842AC4" w:rsidRPr="002414AA">
              <w:rPr>
                <w:rFonts w:eastAsia="Times New Roman" w:cs="Times New Roman"/>
                <w:b/>
                <w:sz w:val="22"/>
              </w:rPr>
              <w:t xml:space="preserve">The </w:t>
            </w:r>
            <w:r w:rsidR="00C773CB" w:rsidRPr="002414AA">
              <w:rPr>
                <w:rFonts w:eastAsia="Times New Roman" w:cs="Times New Roman"/>
                <w:b/>
                <w:sz w:val="22"/>
              </w:rPr>
              <w:t>information provided in the DON Proposal Submission Instruction document takes</w:t>
            </w:r>
          </w:p>
          <w:p w14:paraId="50E088BC" w14:textId="77777777" w:rsidR="00722D9B" w:rsidRDefault="00C773CB" w:rsidP="00C773CB">
            <w:pPr>
              <w:ind w:left="360"/>
              <w:contextualSpacing/>
              <w:jc w:val="both"/>
              <w:rPr>
                <w:rFonts w:eastAsia="Times New Roman" w:cs="Times New Roman"/>
                <w:b/>
                <w:sz w:val="22"/>
              </w:rPr>
            </w:pPr>
            <w:r w:rsidRPr="002414AA">
              <w:rPr>
                <w:rFonts w:eastAsia="Times New Roman" w:cs="Times New Roman"/>
                <w:b/>
                <w:sz w:val="22"/>
              </w:rPr>
              <w:t xml:space="preserve">       precedence over the DoD Instructions posted for this Broad Agency Announcement (BAA).</w:t>
            </w:r>
          </w:p>
          <w:p w14:paraId="4CE082C4" w14:textId="77777777" w:rsidR="00722D9B" w:rsidRDefault="00722D9B" w:rsidP="00C773CB">
            <w:pPr>
              <w:ind w:left="360"/>
              <w:contextualSpacing/>
              <w:jc w:val="both"/>
              <w:rPr>
                <w:rFonts w:eastAsia="Times New Roman" w:cs="Times New Roman"/>
                <w:b/>
                <w:sz w:val="22"/>
              </w:rPr>
            </w:pPr>
          </w:p>
          <w:p w14:paraId="5C05724B" w14:textId="597FDC9A" w:rsidR="00722D9B" w:rsidRPr="0097277D" w:rsidRDefault="00722D9B" w:rsidP="00722D9B">
            <w:pPr>
              <w:numPr>
                <w:ilvl w:val="0"/>
                <w:numId w:val="3"/>
              </w:numPr>
              <w:contextualSpacing/>
              <w:jc w:val="both"/>
              <w:rPr>
                <w:rFonts w:eastAsia="Times New Roman" w:cs="Times New Roman"/>
                <w:b/>
                <w:sz w:val="22"/>
              </w:rPr>
            </w:pPr>
            <w:r w:rsidRPr="0097277D">
              <w:rPr>
                <w:rFonts w:eastAsia="Times New Roman" w:cs="Times New Roman"/>
                <w:b/>
                <w:sz w:val="22"/>
              </w:rPr>
              <w:t>DON updates the Phase I Technical Volume (Volume 2) page limit to not exceed 10 pages.</w:t>
            </w:r>
          </w:p>
          <w:bookmarkEnd w:id="0"/>
          <w:p w14:paraId="4A284DD7" w14:textId="77777777" w:rsidR="00036A9F" w:rsidRDefault="00036A9F" w:rsidP="00722D9B">
            <w:pPr>
              <w:contextualSpacing/>
              <w:jc w:val="both"/>
              <w:rPr>
                <w:rFonts w:eastAsia="Times New Roman" w:cs="Times New Roman"/>
                <w:b/>
                <w:sz w:val="22"/>
              </w:rPr>
            </w:pPr>
          </w:p>
          <w:p w14:paraId="7478D3B6" w14:textId="749326FB" w:rsidR="00722D9B" w:rsidRPr="0097277D" w:rsidRDefault="00722D9B" w:rsidP="00722D9B">
            <w:pPr>
              <w:numPr>
                <w:ilvl w:val="0"/>
                <w:numId w:val="3"/>
              </w:numPr>
              <w:contextualSpacing/>
              <w:jc w:val="both"/>
              <w:rPr>
                <w:rFonts w:eastAsia="Times New Roman" w:cs="Times New Roman"/>
                <w:sz w:val="22"/>
              </w:rPr>
            </w:pPr>
            <w:r w:rsidRPr="0097277D">
              <w:rPr>
                <w:rFonts w:eastAsia="Times New Roman" w:cs="Times New Roman"/>
                <w:sz w:val="22"/>
              </w:rPr>
              <w:t>A Phase I proposal template specific to DON topics will be available to assist small businesses to generate a Phase I Technical Volume (Volume 2). The template will be located on https://www.navysbir.com/links_forms.htm.</w:t>
            </w:r>
          </w:p>
          <w:p w14:paraId="5A5EDEEF" w14:textId="77777777" w:rsidR="00722D9B" w:rsidRPr="008E329E" w:rsidRDefault="00722D9B" w:rsidP="00722D9B">
            <w:pPr>
              <w:contextualSpacing/>
              <w:jc w:val="both"/>
              <w:rPr>
                <w:rFonts w:eastAsia="Times New Roman" w:cs="Times New Roman"/>
                <w:sz w:val="22"/>
              </w:rPr>
            </w:pPr>
          </w:p>
          <w:p w14:paraId="049B4D5F" w14:textId="77777777" w:rsidR="00722D9B" w:rsidRDefault="00722D9B" w:rsidP="00722D9B">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6C4015" w:rsidRDefault="00722D9B" w:rsidP="00722D9B">
            <w:pPr>
              <w:ind w:left="720"/>
              <w:contextualSpacing/>
              <w:jc w:val="both"/>
              <w:rPr>
                <w:rFonts w:eastAsia="Times New Roman" w:cs="Times New Roman"/>
                <w:sz w:val="22"/>
              </w:rPr>
            </w:pPr>
          </w:p>
          <w:p w14:paraId="5BB7C994" w14:textId="3DBF94D5" w:rsidR="00036A9F" w:rsidRPr="00E40B9C" w:rsidRDefault="00722D9B" w:rsidP="00C34768">
            <w:pPr>
              <w:numPr>
                <w:ilvl w:val="0"/>
                <w:numId w:val="5"/>
              </w:numPr>
              <w:contextualSpacing/>
              <w:jc w:val="both"/>
              <w:rPr>
                <w:rFonts w:eastAsia="Times New Roman" w:cs="Times New Roman"/>
                <w:sz w:val="22"/>
              </w:rPr>
            </w:pPr>
            <w:r w:rsidRPr="00722D9B">
              <w:rPr>
                <w:rFonts w:eastAsia="Times New Roman" w:cs="Times New Roman"/>
                <w:sz w:val="22"/>
              </w:rPr>
              <w:t>The optional Supporting Documents Volume (Volume 5) is available</w:t>
            </w:r>
            <w:r w:rsidRPr="00722D9B">
              <w:rPr>
                <w:rFonts w:eastAsia="Times New Roman" w:cs="Times New Roman"/>
                <w:sz w:val="22"/>
                <w:szCs w:val="24"/>
              </w:rPr>
              <w:t xml:space="preserve"> for the SBIR 20.2 BAA cycle. The optional Supporting Documents Volume is provided for small businesses to submit additional documentation to support the Technical Volume (Volume 2)</w:t>
            </w:r>
            <w:r w:rsidRPr="00722D9B">
              <w:rPr>
                <w:rFonts w:eastAsia="Times New Roman" w:cs="Times New Roman"/>
                <w:sz w:val="22"/>
              </w:rPr>
              <w:t xml:space="preserve"> and the Cost Volume (Volume 3). Volume 5 is available for use when submitting Phase I and Phase II proposals. </w:t>
            </w:r>
            <w:r w:rsidRPr="00722D9B">
              <w:rPr>
                <w:rFonts w:eastAsia="Times New Roman" w:cs="Times New Roman"/>
                <w:sz w:val="22"/>
                <w:szCs w:val="24"/>
              </w:rPr>
              <w:t>DON will not be using any of the information in Volume 5 during the evaluation</w:t>
            </w:r>
            <w:r>
              <w:rPr>
                <w:rFonts w:eastAsia="Times New Roman" w:cs="Times New Roman"/>
                <w:sz w:val="22"/>
                <w:szCs w:val="24"/>
              </w:rPr>
              <w:t>.</w:t>
            </w:r>
          </w:p>
        </w:tc>
      </w:tr>
    </w:tbl>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21905ABD" w:rsidR="005C51B6" w:rsidRDefault="005C51B6" w:rsidP="005C51B6">
      <w:pPr>
        <w:tabs>
          <w:tab w:val="left" w:pos="-1440"/>
        </w:tabs>
        <w:jc w:val="both"/>
        <w:rPr>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001F799D">
        <w:rPr>
          <w:bCs/>
          <w:color w:val="000000"/>
          <w:sz w:val="22"/>
        </w:rPr>
        <w:t>,</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w:t>
      </w:r>
      <w:r w:rsidR="00722D9B" w:rsidRPr="00722D9B">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period </w:t>
      </w:r>
      <w:r w:rsidR="00A6357A">
        <w:rPr>
          <w:b/>
          <w:sz w:val="22"/>
        </w:rPr>
        <w:t xml:space="preserve">6 May </w:t>
      </w:r>
      <w:r w:rsidR="001F799D">
        <w:rPr>
          <w:b/>
          <w:sz w:val="22"/>
        </w:rPr>
        <w:t>2020</w:t>
      </w:r>
      <w:r w:rsidRPr="001853E5">
        <w:rPr>
          <w:b/>
          <w:sz w:val="22"/>
        </w:rPr>
        <w:t xml:space="preserve"> through </w:t>
      </w:r>
      <w:r w:rsidR="00356649">
        <w:rPr>
          <w:b/>
          <w:sz w:val="22"/>
        </w:rPr>
        <w:t>2 June</w:t>
      </w:r>
      <w:r w:rsidR="001F799D">
        <w:rPr>
          <w:b/>
          <w:sz w:val="22"/>
        </w:rPr>
        <w:t xml:space="preserve"> </w:t>
      </w:r>
      <w:r w:rsidR="002701B5" w:rsidRPr="001853E5">
        <w:rPr>
          <w:b/>
          <w:sz w:val="22"/>
        </w:rPr>
        <w:t>2020</w:t>
      </w:r>
      <w:r w:rsidRPr="001853E5">
        <w:rPr>
          <w:b/>
          <w:sz w:val="22"/>
        </w:rPr>
        <w:t xml:space="preserve">. </w:t>
      </w:r>
      <w:r w:rsidRPr="001853E5">
        <w:rPr>
          <w:color w:val="000000"/>
          <w:sz w:val="22"/>
        </w:rPr>
        <w:t xml:space="preserve">Beginning </w:t>
      </w:r>
      <w:r w:rsidR="00356649">
        <w:rPr>
          <w:b/>
          <w:sz w:val="22"/>
        </w:rPr>
        <w:t>3 June</w:t>
      </w:r>
      <w:r w:rsidR="002701B5" w:rsidRPr="001853E5">
        <w:rPr>
          <w:b/>
          <w:sz w:val="22"/>
        </w:rPr>
        <w:t xml:space="preserve"> 2020</w:t>
      </w:r>
      <w:r w:rsidRPr="001853E5">
        <w:rPr>
          <w:b/>
          <w:sz w:val="22"/>
        </w:rPr>
        <w:t>,</w:t>
      </w:r>
      <w:r w:rsidRPr="001853E5">
        <w:rPr>
          <w:color w:val="000000"/>
          <w:sz w:val="22"/>
        </w:rPr>
        <w:t xml:space="preserve"> the </w:t>
      </w:r>
      <w:r w:rsidRPr="009F4DC5">
        <w:rPr>
          <w:color w:val="000000"/>
          <w:sz w:val="22"/>
        </w:rPr>
        <w:t>SBIR/STTR Interactive Technical Information System (SITIS) (</w:t>
      </w:r>
      <w:bookmarkStart w:id="1" w:name="_Hlk32303988"/>
      <w:r w:rsidR="001F799D" w:rsidRPr="009F4DC5">
        <w:rPr>
          <w:rFonts w:eastAsia="Times New Roman" w:cs="Times New Roman"/>
          <w:color w:val="0000FF"/>
          <w:sz w:val="22"/>
          <w:u w:val="single"/>
        </w:rPr>
        <w:fldChar w:fldCharType="begin"/>
      </w:r>
      <w:r w:rsidR="001F799D" w:rsidRPr="009F4DC5">
        <w:rPr>
          <w:rFonts w:eastAsia="Times New Roman" w:cs="Times New Roman"/>
          <w:color w:val="0000FF"/>
          <w:sz w:val="22"/>
          <w:u w:val="single"/>
        </w:rPr>
        <w:instrText xml:space="preserve"> HYPERLINK "https://www.dodsbirsttr.mil/submissions" </w:instrText>
      </w:r>
      <w:r w:rsidR="001F799D" w:rsidRPr="009F4DC5">
        <w:rPr>
          <w:rFonts w:eastAsia="Times New Roman" w:cs="Times New Roman"/>
          <w:color w:val="0000FF"/>
          <w:sz w:val="22"/>
          <w:u w:val="single"/>
        </w:rPr>
        <w:fldChar w:fldCharType="separate"/>
      </w:r>
      <w:r w:rsidR="001F799D" w:rsidRPr="009F4DC5">
        <w:rPr>
          <w:rFonts w:eastAsia="Times New Roman" w:cs="Times New Roman"/>
          <w:color w:val="0000FF"/>
          <w:sz w:val="22"/>
          <w:u w:val="single"/>
        </w:rPr>
        <w:t>https://www.dodsbirsttr.mil/submissions</w:t>
      </w:r>
      <w:r w:rsidR="001F799D" w:rsidRPr="009F4DC5">
        <w:rPr>
          <w:rFonts w:eastAsia="Times New Roman" w:cs="Times New Roman"/>
          <w:color w:val="0000FF"/>
          <w:sz w:val="22"/>
          <w:u w:val="single"/>
        </w:rPr>
        <w:fldChar w:fldCharType="end"/>
      </w:r>
      <w:bookmarkEnd w:id="1"/>
      <w:r w:rsidRPr="009F4DC5">
        <w:rPr>
          <w:color w:val="000000"/>
          <w:sz w:val="22"/>
        </w:rPr>
        <w:t xml:space="preserve">) </w:t>
      </w:r>
      <w:r w:rsidRPr="009F4DC5">
        <w:rPr>
          <w:bCs/>
          <w:color w:val="000000"/>
          <w:sz w:val="22"/>
        </w:rPr>
        <w:t>listed in Section 4.15.d of the Department of Defense (DoD) SBIR/STTR Program Broad Agency Announcement (BAA) must be used for any technical inquiry</w:t>
      </w:r>
      <w:r w:rsidRPr="00BD3050">
        <w:rPr>
          <w:bCs/>
          <w:color w:val="000000"/>
          <w:sz w:val="22"/>
        </w:rPr>
        <w:t xml:space="preserve">.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1" w:history="1">
        <w:r w:rsidR="00444D86" w:rsidRPr="00CF4C1E">
          <w:rPr>
            <w:rStyle w:val="Hyperlink"/>
            <w:sz w:val="22"/>
          </w:rPr>
          <w:t>dodsbirsupport@reisystems.com</w:t>
        </w:r>
      </w:hyperlink>
      <w:r w:rsidRPr="00BD3050">
        <w:rPr>
          <w:sz w:val="22"/>
        </w:rPr>
        <w:t>. </w:t>
      </w:r>
    </w:p>
    <w:p w14:paraId="5B462A23" w14:textId="2DCB74A1" w:rsidR="001F799D" w:rsidRDefault="001F799D" w:rsidP="005C51B6">
      <w:pPr>
        <w:tabs>
          <w:tab w:val="left" w:pos="-1440"/>
        </w:tabs>
        <w:jc w:val="both"/>
        <w:rPr>
          <w:sz w:val="22"/>
        </w:rPr>
      </w:pPr>
    </w:p>
    <w:p w14:paraId="2A036E52" w14:textId="772DDF90" w:rsidR="001F799D" w:rsidRDefault="001F799D" w:rsidP="001F799D">
      <w:pPr>
        <w:spacing w:after="60"/>
        <w:jc w:val="center"/>
        <w:outlineLvl w:val="0"/>
        <w:rPr>
          <w:b/>
          <w:color w:val="000000"/>
          <w:sz w:val="22"/>
        </w:rPr>
      </w:pPr>
      <w:r w:rsidRPr="00BD3050">
        <w:rPr>
          <w:b/>
          <w:color w:val="000000"/>
          <w:sz w:val="22"/>
        </w:rPr>
        <w:t xml:space="preserve">TABLE </w:t>
      </w:r>
      <w:r>
        <w:rPr>
          <w:b/>
          <w:color w:val="000000"/>
          <w:sz w:val="22"/>
        </w:rPr>
        <w:t>1</w:t>
      </w:r>
      <w:r w:rsidRPr="00BD3050">
        <w:rPr>
          <w:b/>
          <w:color w:val="000000"/>
          <w:sz w:val="22"/>
        </w:rPr>
        <w:t>: DON SYSTEMS COMMAND (SYSCOM) SBIR PROGRAM MANAGERS</w:t>
      </w:r>
    </w:p>
    <w:p w14:paraId="60ABF702" w14:textId="77777777" w:rsidR="001F799D" w:rsidRPr="00BD3050" w:rsidRDefault="001F799D" w:rsidP="001F799D">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D3050" w14:paraId="63632C47" w14:textId="77777777" w:rsidTr="004C6047">
        <w:trPr>
          <w:trHeight w:val="302"/>
          <w:tblHeader/>
          <w:jc w:val="center"/>
        </w:trPr>
        <w:tc>
          <w:tcPr>
            <w:tcW w:w="1620" w:type="dxa"/>
            <w:tcBorders>
              <w:top w:val="nil"/>
              <w:left w:val="nil"/>
              <w:bottom w:val="single" w:sz="4" w:space="0" w:color="auto"/>
              <w:right w:val="nil"/>
            </w:tcBorders>
            <w:hideMark/>
          </w:tcPr>
          <w:p w14:paraId="403002E9" w14:textId="77777777" w:rsidR="001F799D" w:rsidRPr="00BD3050" w:rsidRDefault="001F799D" w:rsidP="004C6047">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0CEC6FCD" w14:textId="77777777" w:rsidR="001F799D" w:rsidRPr="00BD3050" w:rsidRDefault="001F799D" w:rsidP="004C6047">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D3050" w:rsidRDefault="001F799D" w:rsidP="004C6047">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18055A9" w14:textId="77777777" w:rsidR="001F799D" w:rsidRPr="00BD3050" w:rsidRDefault="001F799D" w:rsidP="004C6047">
            <w:pPr>
              <w:jc w:val="center"/>
              <w:rPr>
                <w:sz w:val="22"/>
              </w:rPr>
            </w:pPr>
            <w:r w:rsidRPr="00BD3050">
              <w:rPr>
                <w:sz w:val="22"/>
                <w:u w:val="single"/>
              </w:rPr>
              <w:t>Email</w:t>
            </w:r>
          </w:p>
        </w:tc>
      </w:tr>
      <w:tr w:rsidR="001F799D" w:rsidRPr="00115EA6" w14:paraId="6355CA72"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2A3CD85E" w:rsidR="001F799D" w:rsidRPr="00531E82" w:rsidDel="00D857E0" w:rsidRDefault="001F799D" w:rsidP="004C6047">
            <w:pPr>
              <w:jc w:val="center"/>
              <w:rPr>
                <w:sz w:val="22"/>
              </w:rPr>
            </w:pPr>
            <w:r w:rsidRPr="00531E82">
              <w:rPr>
                <w:sz w:val="22"/>
              </w:rPr>
              <w:t>N20</w:t>
            </w:r>
            <w:r>
              <w:rPr>
                <w:sz w:val="22"/>
              </w:rPr>
              <w:t>2</w:t>
            </w:r>
            <w:r w:rsidRPr="00531E82">
              <w:rPr>
                <w:sz w:val="22"/>
              </w:rPr>
              <w:t>-</w:t>
            </w:r>
            <w:r w:rsidR="009F4DC5">
              <w:rPr>
                <w:sz w:val="22"/>
              </w:rPr>
              <w:t>088</w:t>
            </w:r>
            <w:r w:rsidRPr="00531E82">
              <w:rPr>
                <w:sz w:val="22"/>
              </w:rPr>
              <w:t xml:space="preserve"> to N20</w:t>
            </w:r>
            <w:r>
              <w:rPr>
                <w:sz w:val="22"/>
              </w:rPr>
              <w:t>2</w:t>
            </w:r>
            <w:r w:rsidRPr="00531E82">
              <w:rPr>
                <w:sz w:val="22"/>
              </w:rPr>
              <w:t>-</w:t>
            </w:r>
            <w:r w:rsidR="009F4DC5">
              <w:rPr>
                <w:sz w:val="22"/>
              </w:rPr>
              <w:t>090</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531E82" w:rsidRDefault="001F799D" w:rsidP="004C6047">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531E82" w:rsidRDefault="001F799D" w:rsidP="004C6047">
            <w:pPr>
              <w:jc w:val="center"/>
              <w:rPr>
                <w:sz w:val="22"/>
              </w:rPr>
            </w:pPr>
            <w:r w:rsidRPr="00531E82">
              <w:rPr>
                <w:sz w:val="22"/>
              </w:rPr>
              <w:t xml:space="preserve">Marine Corps Systems Command </w:t>
            </w:r>
          </w:p>
          <w:p w14:paraId="06642C65" w14:textId="77777777" w:rsidR="001F799D" w:rsidRPr="00531E82" w:rsidRDefault="001F799D" w:rsidP="004C6047">
            <w:pPr>
              <w:spacing w:after="80"/>
              <w:jc w:val="center"/>
              <w:rPr>
                <w:sz w:val="22"/>
              </w:rPr>
            </w:pPr>
            <w:r w:rsidRPr="00531E82">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531E82" w:rsidRDefault="001F799D" w:rsidP="004C6047">
            <w:pPr>
              <w:jc w:val="center"/>
              <w:rPr>
                <w:sz w:val="22"/>
              </w:rPr>
            </w:pPr>
            <w:r w:rsidRPr="00531E82">
              <w:rPr>
                <w:sz w:val="22"/>
              </w:rPr>
              <w:t>jeffrey.a.kent@usmc.mil</w:t>
            </w:r>
          </w:p>
        </w:tc>
      </w:tr>
      <w:tr w:rsidR="001F799D" w:rsidRPr="00115EA6" w14:paraId="612796B0"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D44693A" w14:textId="0DCE9456" w:rsidR="001F799D" w:rsidRPr="00531E82" w:rsidDel="009B11E9" w:rsidRDefault="001F799D" w:rsidP="004C6047">
            <w:pPr>
              <w:jc w:val="center"/>
              <w:rPr>
                <w:sz w:val="22"/>
              </w:rPr>
            </w:pPr>
            <w:r w:rsidRPr="00531E82">
              <w:rPr>
                <w:sz w:val="22"/>
              </w:rPr>
              <w:t>N20</w:t>
            </w:r>
            <w:r w:rsidR="003D4199">
              <w:rPr>
                <w:sz w:val="22"/>
              </w:rPr>
              <w:t>2</w:t>
            </w:r>
            <w:r w:rsidRPr="00531E82">
              <w:rPr>
                <w:sz w:val="22"/>
              </w:rPr>
              <w:t>-</w:t>
            </w:r>
            <w:r w:rsidR="009F4DC5">
              <w:rPr>
                <w:sz w:val="22"/>
              </w:rPr>
              <w:t>091</w:t>
            </w:r>
            <w:r w:rsidRPr="00531E82">
              <w:rPr>
                <w:sz w:val="22"/>
              </w:rPr>
              <w:t xml:space="preserve"> to N20</w:t>
            </w:r>
            <w:r w:rsidR="003D4199">
              <w:rPr>
                <w:sz w:val="22"/>
              </w:rPr>
              <w:t>2</w:t>
            </w:r>
            <w:r w:rsidRPr="00531E82">
              <w:rPr>
                <w:sz w:val="22"/>
              </w:rPr>
              <w:t>-</w:t>
            </w:r>
            <w:r w:rsidR="009F4DC5">
              <w:rPr>
                <w:sz w:val="22"/>
              </w:rPr>
              <w:t>122</w:t>
            </w:r>
          </w:p>
        </w:tc>
        <w:tc>
          <w:tcPr>
            <w:tcW w:w="2520" w:type="dxa"/>
            <w:tcBorders>
              <w:top w:val="single" w:sz="4" w:space="0" w:color="auto"/>
              <w:left w:val="single" w:sz="4" w:space="0" w:color="auto"/>
              <w:bottom w:val="single" w:sz="4" w:space="0" w:color="auto"/>
              <w:right w:val="single" w:sz="4" w:space="0" w:color="auto"/>
            </w:tcBorders>
            <w:vAlign w:val="center"/>
          </w:tcPr>
          <w:p w14:paraId="7485D2E6" w14:textId="77777777" w:rsidR="001F799D" w:rsidRPr="00531E82" w:rsidRDefault="001F799D" w:rsidP="004C6047">
            <w:pPr>
              <w:jc w:val="center"/>
              <w:rPr>
                <w:sz w:val="22"/>
              </w:rPr>
            </w:pPr>
            <w:r w:rsidRPr="00531E82">
              <w:rPr>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4CF8B312" w14:textId="77777777" w:rsidR="001F799D" w:rsidRPr="00531E82" w:rsidRDefault="001F799D" w:rsidP="004C6047">
            <w:pPr>
              <w:jc w:val="center"/>
              <w:rPr>
                <w:sz w:val="22"/>
              </w:rPr>
            </w:pPr>
            <w:r w:rsidRPr="00531E82">
              <w:rPr>
                <w:sz w:val="22"/>
              </w:rPr>
              <w:t xml:space="preserve">Naval Air Systems Command </w:t>
            </w:r>
          </w:p>
          <w:p w14:paraId="7BFA9A91" w14:textId="77777777" w:rsidR="001F799D" w:rsidRPr="00531E82" w:rsidRDefault="001F799D" w:rsidP="004C6047">
            <w:pPr>
              <w:spacing w:after="80"/>
              <w:jc w:val="center"/>
              <w:rPr>
                <w:sz w:val="22"/>
              </w:rPr>
            </w:pPr>
            <w:r w:rsidRPr="00531E82">
              <w:rPr>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5808B57E" w14:textId="64A7E18C" w:rsidR="001F799D" w:rsidRPr="00531E82" w:rsidRDefault="007F5BC3" w:rsidP="004C6047">
            <w:pPr>
              <w:jc w:val="center"/>
              <w:rPr>
                <w:sz w:val="22"/>
              </w:rPr>
            </w:pPr>
            <w:r>
              <w:rPr>
                <w:sz w:val="22"/>
              </w:rPr>
              <w:t>navairsbir</w:t>
            </w:r>
            <w:r w:rsidR="001F799D" w:rsidRPr="00531E82">
              <w:rPr>
                <w:sz w:val="22"/>
              </w:rPr>
              <w:t>@navy.mil</w:t>
            </w:r>
          </w:p>
        </w:tc>
      </w:tr>
      <w:tr w:rsidR="003D4199" w:rsidRPr="00115EA6" w14:paraId="2DA490AA"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64C324B" w14:textId="7DBA06E8" w:rsidR="003D4199" w:rsidRPr="00531E82" w:rsidRDefault="003D4199" w:rsidP="003D4199">
            <w:pPr>
              <w:jc w:val="center"/>
              <w:rPr>
                <w:sz w:val="22"/>
              </w:rPr>
            </w:pPr>
            <w:r>
              <w:rPr>
                <w:sz w:val="22"/>
              </w:rPr>
              <w:lastRenderedPageBreak/>
              <w:t>N202-</w:t>
            </w:r>
            <w:r w:rsidR="009F4DC5">
              <w:rPr>
                <w:sz w:val="22"/>
              </w:rPr>
              <w:t>123</w:t>
            </w:r>
          </w:p>
        </w:tc>
        <w:tc>
          <w:tcPr>
            <w:tcW w:w="2520" w:type="dxa"/>
            <w:tcBorders>
              <w:top w:val="single" w:sz="4" w:space="0" w:color="auto"/>
              <w:left w:val="single" w:sz="4" w:space="0" w:color="auto"/>
              <w:bottom w:val="single" w:sz="4" w:space="0" w:color="auto"/>
              <w:right w:val="single" w:sz="4" w:space="0" w:color="auto"/>
            </w:tcBorders>
            <w:vAlign w:val="center"/>
          </w:tcPr>
          <w:p w14:paraId="14324CC7" w14:textId="395CB192" w:rsidR="003D4199" w:rsidRPr="00531E82" w:rsidRDefault="003D4199" w:rsidP="003D4199">
            <w:pPr>
              <w:jc w:val="center"/>
              <w:rPr>
                <w:sz w:val="22"/>
              </w:rPr>
            </w:pPr>
            <w:r>
              <w:rPr>
                <w:sz w:val="22"/>
              </w:rPr>
              <w:t>Mr. Timothy Petro</w:t>
            </w:r>
          </w:p>
        </w:tc>
        <w:tc>
          <w:tcPr>
            <w:tcW w:w="2250" w:type="dxa"/>
            <w:tcBorders>
              <w:top w:val="single" w:sz="4" w:space="0" w:color="auto"/>
              <w:left w:val="single" w:sz="4" w:space="0" w:color="auto"/>
              <w:bottom w:val="single" w:sz="4" w:space="0" w:color="auto"/>
              <w:right w:val="single" w:sz="4" w:space="0" w:color="auto"/>
            </w:tcBorders>
            <w:vAlign w:val="center"/>
          </w:tcPr>
          <w:p w14:paraId="68B8267D" w14:textId="34150495" w:rsidR="003D4199" w:rsidRPr="00531E82" w:rsidRDefault="003D4199" w:rsidP="003D4199">
            <w:pPr>
              <w:jc w:val="center"/>
              <w:rPr>
                <w:sz w:val="22"/>
              </w:rPr>
            </w:pPr>
            <w:r>
              <w:rPr>
                <w:sz w:val="22"/>
              </w:rPr>
              <w:t>Naval Facilities Engineering Center (NAVFAC)</w:t>
            </w:r>
          </w:p>
        </w:tc>
        <w:tc>
          <w:tcPr>
            <w:tcW w:w="2970" w:type="dxa"/>
            <w:tcBorders>
              <w:top w:val="single" w:sz="4" w:space="0" w:color="auto"/>
              <w:left w:val="single" w:sz="4" w:space="0" w:color="auto"/>
              <w:bottom w:val="single" w:sz="4" w:space="0" w:color="auto"/>
              <w:right w:val="single" w:sz="4" w:space="0" w:color="auto"/>
            </w:tcBorders>
            <w:vAlign w:val="center"/>
          </w:tcPr>
          <w:p w14:paraId="7BA96C16" w14:textId="255D9A1A" w:rsidR="003D4199" w:rsidRPr="00531E82" w:rsidRDefault="003D4199" w:rsidP="003D4199">
            <w:pPr>
              <w:jc w:val="center"/>
              <w:rPr>
                <w:sz w:val="22"/>
              </w:rPr>
            </w:pPr>
            <w:r>
              <w:rPr>
                <w:sz w:val="22"/>
              </w:rPr>
              <w:t>timothy.petro@navy.mil</w:t>
            </w:r>
          </w:p>
        </w:tc>
      </w:tr>
      <w:tr w:rsidR="001F799D" w:rsidRPr="00115EA6" w14:paraId="502EF74E"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E76AA43" w14:textId="376C280B" w:rsidR="001F799D" w:rsidRPr="00531E82" w:rsidRDefault="001F799D" w:rsidP="004C6047">
            <w:pPr>
              <w:jc w:val="center"/>
              <w:rPr>
                <w:sz w:val="22"/>
              </w:rPr>
            </w:pPr>
            <w:r w:rsidRPr="00531E82">
              <w:rPr>
                <w:sz w:val="22"/>
              </w:rPr>
              <w:t>N20</w:t>
            </w:r>
            <w:r w:rsidR="003D4199">
              <w:rPr>
                <w:sz w:val="22"/>
              </w:rPr>
              <w:t>2</w:t>
            </w:r>
            <w:r w:rsidRPr="00531E82">
              <w:rPr>
                <w:sz w:val="22"/>
              </w:rPr>
              <w:t>-</w:t>
            </w:r>
            <w:r w:rsidR="009F4DC5">
              <w:rPr>
                <w:sz w:val="22"/>
              </w:rPr>
              <w:t>124</w:t>
            </w:r>
            <w:r w:rsidRPr="00531E82">
              <w:rPr>
                <w:sz w:val="22"/>
              </w:rPr>
              <w:t xml:space="preserve"> to N20</w:t>
            </w:r>
            <w:r w:rsidR="003D4199">
              <w:rPr>
                <w:sz w:val="22"/>
              </w:rPr>
              <w:t>2</w:t>
            </w:r>
            <w:r w:rsidRPr="00531E82">
              <w:rPr>
                <w:sz w:val="22"/>
              </w:rPr>
              <w:t>-</w:t>
            </w:r>
            <w:r w:rsidR="009F4DC5">
              <w:rPr>
                <w:sz w:val="22"/>
              </w:rPr>
              <w:t>133</w:t>
            </w:r>
          </w:p>
        </w:tc>
        <w:tc>
          <w:tcPr>
            <w:tcW w:w="2520" w:type="dxa"/>
            <w:tcBorders>
              <w:top w:val="single" w:sz="4" w:space="0" w:color="auto"/>
              <w:left w:val="single" w:sz="4" w:space="0" w:color="auto"/>
              <w:bottom w:val="single" w:sz="4" w:space="0" w:color="auto"/>
              <w:right w:val="single" w:sz="4" w:space="0" w:color="auto"/>
            </w:tcBorders>
            <w:vAlign w:val="center"/>
          </w:tcPr>
          <w:p w14:paraId="296ED097" w14:textId="77777777" w:rsidR="001F799D" w:rsidRPr="00531E82" w:rsidRDefault="001F799D" w:rsidP="004C6047">
            <w:pPr>
              <w:jc w:val="center"/>
              <w:rPr>
                <w:sz w:val="22"/>
              </w:rPr>
            </w:pPr>
            <w:r w:rsidRPr="00531E82">
              <w:rPr>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1B44FB43" w14:textId="77777777" w:rsidR="001F799D" w:rsidRPr="00531E82" w:rsidRDefault="001F799D" w:rsidP="004C6047">
            <w:pPr>
              <w:spacing w:after="80"/>
              <w:jc w:val="center"/>
              <w:rPr>
                <w:sz w:val="22"/>
              </w:rPr>
            </w:pPr>
            <w:r w:rsidRPr="00531E82">
              <w:rPr>
                <w:sz w:val="22"/>
              </w:rPr>
              <w:t xml:space="preserve">Office of Naval Research </w:t>
            </w:r>
          </w:p>
          <w:p w14:paraId="4067FAFA" w14:textId="77777777" w:rsidR="001F799D" w:rsidRPr="00531E82" w:rsidRDefault="001F799D" w:rsidP="004C6047">
            <w:pPr>
              <w:spacing w:after="80"/>
              <w:jc w:val="center"/>
              <w:rPr>
                <w:sz w:val="22"/>
              </w:rPr>
            </w:pPr>
            <w:r w:rsidRPr="00531E82">
              <w:rPr>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70142727" w14:textId="77777777" w:rsidR="001F799D" w:rsidRPr="00531E82" w:rsidRDefault="001F799D" w:rsidP="004C6047">
            <w:pPr>
              <w:jc w:val="center"/>
              <w:rPr>
                <w:sz w:val="22"/>
              </w:rPr>
            </w:pPr>
            <w:r w:rsidRPr="00531E82">
              <w:rPr>
                <w:sz w:val="22"/>
              </w:rPr>
              <w:t>loreanne.ponirakis@navy.mil</w:t>
            </w:r>
          </w:p>
        </w:tc>
      </w:tr>
      <w:tr w:rsidR="009F4DC5" w:rsidRPr="00115EA6" w14:paraId="34932B0F" w14:textId="77777777" w:rsidTr="00971ADA">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5B7CF4D8" w:rsidR="009F4DC5" w:rsidRPr="00531E82" w:rsidRDefault="009F4DC5" w:rsidP="009F4DC5">
            <w:pPr>
              <w:jc w:val="center"/>
              <w:rPr>
                <w:sz w:val="22"/>
              </w:rPr>
            </w:pPr>
            <w:r>
              <w:rPr>
                <w:sz w:val="22"/>
              </w:rPr>
              <w:t>N202-134 to N202-135</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9F4DC5" w:rsidRPr="00531E82" w:rsidRDefault="009F4DC5" w:rsidP="009F4DC5">
            <w:pPr>
              <w:jc w:val="center"/>
              <w:rPr>
                <w:sz w:val="22"/>
              </w:rPr>
            </w:pPr>
            <w:r>
              <w:rPr>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9F4DC5" w:rsidRPr="00531E82" w:rsidRDefault="009F4DC5" w:rsidP="009F4DC5">
            <w:pPr>
              <w:spacing w:after="80"/>
              <w:jc w:val="center"/>
              <w:rPr>
                <w:sz w:val="22"/>
              </w:rPr>
            </w:pPr>
            <w:r>
              <w:rPr>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9F4DC5" w:rsidRPr="00531E82" w:rsidRDefault="009F4DC5" w:rsidP="009F4DC5">
            <w:pPr>
              <w:jc w:val="center"/>
              <w:rPr>
                <w:sz w:val="22"/>
              </w:rPr>
            </w:pPr>
            <w:r>
              <w:rPr>
                <w:sz w:val="22"/>
              </w:rPr>
              <w:t>shadi.azoum@navy.mil</w:t>
            </w:r>
          </w:p>
        </w:tc>
      </w:tr>
      <w:tr w:rsidR="001F799D" w:rsidRPr="00BD3050" w14:paraId="50423978" w14:textId="77777777" w:rsidTr="004C6047">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34D25A28" w14:textId="0A6BB307" w:rsidR="001F799D" w:rsidRPr="00531E82" w:rsidRDefault="001F799D" w:rsidP="004C6047">
            <w:pPr>
              <w:jc w:val="center"/>
              <w:rPr>
                <w:sz w:val="22"/>
              </w:rPr>
            </w:pPr>
            <w:r w:rsidRPr="00531E82">
              <w:rPr>
                <w:sz w:val="22"/>
              </w:rPr>
              <w:t>N20</w:t>
            </w:r>
            <w:r w:rsidR="003D4199">
              <w:rPr>
                <w:sz w:val="22"/>
              </w:rPr>
              <w:t>2</w:t>
            </w:r>
            <w:r w:rsidRPr="00531E82">
              <w:rPr>
                <w:sz w:val="22"/>
              </w:rPr>
              <w:t>-</w:t>
            </w:r>
            <w:r w:rsidR="009F4DC5">
              <w:rPr>
                <w:sz w:val="22"/>
              </w:rPr>
              <w:t>136</w:t>
            </w:r>
            <w:r w:rsidRPr="00531E82">
              <w:rPr>
                <w:sz w:val="22"/>
              </w:rPr>
              <w:t xml:space="preserve"> to N20</w:t>
            </w:r>
            <w:r w:rsidR="003D4199">
              <w:rPr>
                <w:sz w:val="22"/>
              </w:rPr>
              <w:t>2</w:t>
            </w:r>
            <w:r w:rsidRPr="00531E82">
              <w:rPr>
                <w:sz w:val="22"/>
              </w:rPr>
              <w:t>-</w:t>
            </w:r>
            <w:r w:rsidR="009F4DC5">
              <w:rPr>
                <w:sz w:val="22"/>
              </w:rPr>
              <w:t>147</w:t>
            </w:r>
          </w:p>
        </w:tc>
        <w:tc>
          <w:tcPr>
            <w:tcW w:w="2520" w:type="dxa"/>
            <w:tcBorders>
              <w:top w:val="single" w:sz="4" w:space="0" w:color="auto"/>
              <w:left w:val="single" w:sz="4" w:space="0" w:color="auto"/>
              <w:bottom w:val="single" w:sz="4" w:space="0" w:color="auto"/>
              <w:right w:val="single" w:sz="4" w:space="0" w:color="auto"/>
            </w:tcBorders>
            <w:vAlign w:val="center"/>
          </w:tcPr>
          <w:p w14:paraId="04D97CD0" w14:textId="77777777" w:rsidR="001F799D" w:rsidRPr="00531E82" w:rsidRDefault="001F799D" w:rsidP="004C6047">
            <w:pPr>
              <w:jc w:val="center"/>
              <w:rPr>
                <w:sz w:val="22"/>
              </w:rPr>
            </w:pPr>
            <w:r w:rsidRPr="00531E82">
              <w:rPr>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2695E798" w14:textId="77777777" w:rsidR="001F799D" w:rsidRPr="00531E82" w:rsidRDefault="001F799D" w:rsidP="004C6047">
            <w:pPr>
              <w:spacing w:after="80"/>
              <w:jc w:val="center"/>
              <w:rPr>
                <w:sz w:val="22"/>
              </w:rPr>
            </w:pPr>
            <w:r w:rsidRPr="00531E82">
              <w:rPr>
                <w:sz w:val="22"/>
              </w:rPr>
              <w:t xml:space="preserve">Strategic Systems Programs </w:t>
            </w:r>
          </w:p>
          <w:p w14:paraId="5FE27641" w14:textId="77777777" w:rsidR="001F799D" w:rsidRPr="00531E82" w:rsidRDefault="001F799D" w:rsidP="004C6047">
            <w:pPr>
              <w:spacing w:after="80"/>
              <w:jc w:val="center"/>
              <w:rPr>
                <w:sz w:val="22"/>
              </w:rPr>
            </w:pPr>
            <w:r w:rsidRPr="00531E82">
              <w:rPr>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0DDF72C2" w14:textId="77777777" w:rsidR="001F799D" w:rsidRPr="00531E82" w:rsidRDefault="001F799D" w:rsidP="004C6047">
            <w:pPr>
              <w:jc w:val="center"/>
              <w:rPr>
                <w:sz w:val="22"/>
              </w:rPr>
            </w:pPr>
            <w:r w:rsidRPr="00531E82">
              <w:rPr>
                <w:sz w:val="22"/>
              </w:rPr>
              <w:t>michael.pyryt@ssp.navy.mil</w:t>
            </w:r>
          </w:p>
        </w:tc>
      </w:tr>
    </w:tbl>
    <w:p w14:paraId="3C8BFD1A" w14:textId="77777777" w:rsidR="005D432E" w:rsidRDefault="005D432E" w:rsidP="005C51B6">
      <w:pPr>
        <w:pStyle w:val="Header"/>
        <w:rPr>
          <w:b/>
        </w:rPr>
      </w:pPr>
    </w:p>
    <w:p w14:paraId="5EEFDA06" w14:textId="77777777"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2"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3" w:history="1">
        <w:r w:rsidRPr="00215C0D">
          <w:rPr>
            <w:color w:val="0000FF"/>
            <w:sz w:val="22"/>
            <w:u w:val="single"/>
          </w:rPr>
          <w:t>www.navy.mil</w:t>
        </w:r>
      </w:hyperlink>
      <w:r w:rsidRPr="00215C0D">
        <w:rPr>
          <w:sz w:val="22"/>
        </w:rPr>
        <w:t xml:space="preserve">. </w:t>
      </w:r>
    </w:p>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7CFCBDDB" w:rsidR="00215C0D" w:rsidRPr="00215C0D" w:rsidRDefault="3D2069EA" w:rsidP="3D2069EA">
      <w:pPr>
        <w:jc w:val="both"/>
        <w:rPr>
          <w:sz w:val="22"/>
        </w:rPr>
      </w:pPr>
      <w:r w:rsidRPr="3D2069EA">
        <w:rPr>
          <w:sz w:val="22"/>
        </w:rPr>
        <w:t xml:space="preserve">Follow the instructions in the DoD SBIR/STTR Program BAA at </w:t>
      </w:r>
      <w:hyperlink r:id="rId14" w:history="1">
        <w:r w:rsidR="003D4199" w:rsidRPr="009F4DC5">
          <w:rPr>
            <w:rFonts w:eastAsia="Times New Roman" w:cs="Times New Roman"/>
            <w:color w:val="0000FF"/>
            <w:sz w:val="22"/>
            <w:u w:val="single"/>
          </w:rPr>
          <w:t>https://www.dodsbirsttr.mil/submissions</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https://navysbir.com/links_forms.htm. </w:t>
      </w:r>
      <w:r w:rsidRPr="3D2069EA">
        <w:rPr>
          <w:sz w:val="22"/>
        </w:rPr>
        <w:t>Inclusion of cost estimates for travel to the sponsoring SYSCOM’s facility for one day of meetings is recommended for all proposals.</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87F1920"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544429" w:rsidRPr="00544429">
        <w:rPr>
          <w:sz w:val="22"/>
        </w:rPr>
        <w:t>may</w:t>
      </w:r>
      <w:r w:rsidRPr="00544429">
        <w:rPr>
          <w:sz w:val="22"/>
        </w:rPr>
        <w:t xml:space="preserve"> 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77777777"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As specified in DoD SBIR/STTR 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68545B2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 xml:space="preserve">Technical </w:t>
      </w:r>
      <w:r w:rsidR="004E7A41">
        <w:rPr>
          <w:rFonts w:eastAsia="Times New Roman" w:cs="Times New Roman"/>
          <w:b/>
          <w:sz w:val="22"/>
        </w:rPr>
        <w:t>Proposal</w:t>
      </w:r>
      <w:r w:rsidRPr="00215C0D">
        <w:rPr>
          <w:rFonts w:eastAsia="Times New Roman" w:cs="Times New Roman"/>
          <w:b/>
          <w:sz w:val="22"/>
        </w:rPr>
        <w:t xml:space="preserve"> (Volume 2).</w:t>
      </w:r>
      <w:r w:rsidRPr="00215C0D">
        <w:rPr>
          <w:rFonts w:eastAsia="Times New Roman" w:cs="Times New Roman"/>
          <w:sz w:val="22"/>
        </w:rPr>
        <w:t xml:space="preserve"> Technical </w:t>
      </w:r>
      <w:r w:rsidR="00361A1B">
        <w:rPr>
          <w:rFonts w:eastAsia="Times New Roman" w:cs="Times New Roman"/>
          <w:sz w:val="22"/>
        </w:rPr>
        <w:t>Proposal</w:t>
      </w:r>
      <w:r w:rsidRPr="00215C0D">
        <w:rPr>
          <w:rFonts w:eastAsia="Times New Roman" w:cs="Times New Roman"/>
          <w:sz w:val="22"/>
        </w:rPr>
        <w:t xml:space="preserv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D4C3D22" w14:textId="590EEABB" w:rsidR="00262E84" w:rsidRDefault="00074283" w:rsidP="00215C0D">
      <w:pPr>
        <w:numPr>
          <w:ilvl w:val="1"/>
          <w:numId w:val="1"/>
        </w:numPr>
        <w:ind w:left="1080"/>
        <w:contextualSpacing/>
        <w:jc w:val="both"/>
        <w:rPr>
          <w:rFonts w:eastAsia="Times New Roman" w:cs="Times New Roman"/>
          <w:sz w:val="22"/>
        </w:rPr>
      </w:pPr>
      <w:r>
        <w:rPr>
          <w:rFonts w:eastAsia="Times New Roman" w:cs="Times New Roman"/>
          <w:sz w:val="22"/>
        </w:rPr>
        <w:t>Content</w:t>
      </w:r>
      <w:r w:rsidR="000D2751">
        <w:rPr>
          <w:rFonts w:eastAsia="Times New Roman" w:cs="Times New Roman"/>
          <w:sz w:val="22"/>
        </w:rPr>
        <w:t xml:space="preserve"> is r</w:t>
      </w:r>
      <w:r w:rsidR="00262E84">
        <w:rPr>
          <w:rFonts w:eastAsia="Times New Roman" w:cs="Times New Roman"/>
          <w:sz w:val="22"/>
        </w:rPr>
        <w:t xml:space="preserve">esponsive to </w:t>
      </w:r>
      <w:r w:rsidR="00453FA9">
        <w:rPr>
          <w:rFonts w:eastAsia="Times New Roman" w:cs="Times New Roman"/>
          <w:sz w:val="22"/>
        </w:rPr>
        <w:t>evaluation criteria as specified in DoD SBIR/STTR Program BAA section 6.0</w:t>
      </w:r>
    </w:p>
    <w:p w14:paraId="755C9F8D" w14:textId="50523872"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lastRenderedPageBreak/>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 xml:space="preserve">The Phase I Base amount must not exceed </w:t>
      </w:r>
      <w:r w:rsidRPr="00474642">
        <w:rPr>
          <w:rFonts w:eastAsia="Times New Roman" w:cs="Times New Roman"/>
          <w:sz w:val="22"/>
        </w:rPr>
        <w:t>$140,000</w:t>
      </w:r>
      <w:r w:rsidRPr="00215C0D">
        <w:rPr>
          <w:rFonts w:eastAsia="Times New Roman" w:cs="Times New Roman"/>
          <w:sz w:val="22"/>
        </w:rPr>
        <w:t xml:space="preserve">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45BED483"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w:t>
      </w:r>
      <w:r w:rsidR="005E5BEB">
        <w:rPr>
          <w:rFonts w:eastAsia="Times New Roman" w:cs="Times New Roman"/>
          <w:sz w:val="22"/>
        </w:rPr>
        <w:t xml:space="preserve">be exactly </w:t>
      </w:r>
      <w:r w:rsidRPr="00215C0D">
        <w:rPr>
          <w:rFonts w:eastAsia="Times New Roman" w:cs="Times New Roman"/>
          <w:sz w:val="22"/>
        </w:rPr>
        <w:t xml:space="preserve">six (6) months and the Phase I Option Period of Performance must </w:t>
      </w:r>
      <w:r w:rsidR="005E5BEB">
        <w:rPr>
          <w:rFonts w:eastAsia="Times New Roman" w:cs="Times New Roman"/>
          <w:sz w:val="22"/>
        </w:rPr>
        <w:t xml:space="preserve">be exactly </w:t>
      </w:r>
      <w:r w:rsidRPr="00215C0D">
        <w:rPr>
          <w:rFonts w:eastAsia="Times New Roman" w:cs="Times New Roman"/>
          <w:sz w:val="22"/>
        </w:rPr>
        <w:t>six (6) months.</w:t>
      </w:r>
    </w:p>
    <w:p w14:paraId="6CE64E20" w14:textId="77777777" w:rsidR="00215C0D" w:rsidRPr="00215C0D" w:rsidRDefault="00215C0D" w:rsidP="00215C0D">
      <w:pPr>
        <w:ind w:left="720"/>
        <w:contextualSpacing/>
        <w:jc w:val="both"/>
        <w:rPr>
          <w:rFonts w:eastAsia="Times New Roman" w:cs="Times New Roman"/>
          <w:sz w:val="22"/>
        </w:rPr>
      </w:pPr>
    </w:p>
    <w:p w14:paraId="5AFC4DFD" w14:textId="69C453CB" w:rsidR="009F4DC5" w:rsidRPr="007A0DD3" w:rsidRDefault="00BA578E" w:rsidP="003F5B4F">
      <w:pPr>
        <w:numPr>
          <w:ilvl w:val="0"/>
          <w:numId w:val="3"/>
        </w:numPr>
        <w:contextualSpacing/>
        <w:jc w:val="both"/>
        <w:rPr>
          <w:b/>
          <w:sz w:val="22"/>
        </w:rPr>
      </w:pPr>
      <w:bookmarkStart w:id="2" w:name="_Hlk32314204"/>
      <w:r w:rsidRPr="007A0DD3">
        <w:rPr>
          <w:rFonts w:eastAsia="Times New Roman" w:cs="Times New Roman"/>
          <w:b/>
          <w:sz w:val="22"/>
        </w:rPr>
        <w:t>Company Commercialization Report (Volume 4)</w:t>
      </w:r>
      <w:r w:rsidRPr="007A0DD3">
        <w:rPr>
          <w:rFonts w:eastAsia="Times New Roman" w:cs="Times New Roman"/>
          <w:sz w:val="22"/>
        </w:rPr>
        <w:t xml:space="preserve">. </w:t>
      </w:r>
      <w:bookmarkEnd w:id="2"/>
      <w:r w:rsidR="007A0DD3" w:rsidRPr="007A0DD3">
        <w:rPr>
          <w:rFonts w:eastAsia="Times New Roman" w:cs="Times New Roman"/>
          <w:sz w:val="22"/>
        </w:rPr>
        <w:t>Volume 4 is not available for the 20.</w:t>
      </w:r>
      <w:r w:rsidR="00435B91">
        <w:rPr>
          <w:rFonts w:eastAsia="Times New Roman" w:cs="Times New Roman"/>
          <w:sz w:val="22"/>
        </w:rPr>
        <w:t>2</w:t>
      </w:r>
      <w:r w:rsidR="007A0DD3" w:rsidRPr="007A0DD3">
        <w:rPr>
          <w:rFonts w:eastAsia="Times New Roman" w:cs="Times New Roman"/>
          <w:sz w:val="22"/>
        </w:rPr>
        <w:t xml:space="preserve"> BAA. Please refer to the DoD SBIR/STTR BAA section 5.4(e) for further information.</w:t>
      </w:r>
    </w:p>
    <w:p w14:paraId="1EB92C58" w14:textId="77777777" w:rsidR="007A0DD3" w:rsidRPr="007A0DD3" w:rsidRDefault="007A0DD3" w:rsidP="007A0DD3">
      <w:pPr>
        <w:contextualSpacing/>
        <w:jc w:val="both"/>
        <w:rPr>
          <w:b/>
          <w:sz w:val="22"/>
        </w:rPr>
      </w:pPr>
    </w:p>
    <w:p w14:paraId="293C29E8" w14:textId="3825DAC9" w:rsidR="006C05B1" w:rsidRPr="006C05B1" w:rsidRDefault="00215C0D" w:rsidP="006C05B1">
      <w:pPr>
        <w:numPr>
          <w:ilvl w:val="0"/>
          <w:numId w:val="3"/>
        </w:numPr>
        <w:contextualSpacing/>
        <w:jc w:val="both"/>
        <w:rPr>
          <w:rFonts w:eastAsia="Times New Roman" w:cs="Times New Roman"/>
          <w:sz w:val="22"/>
          <w:szCs w:val="24"/>
        </w:rPr>
      </w:pPr>
      <w:r w:rsidRPr="00215C0D">
        <w:rPr>
          <w:rFonts w:eastAsia="Times New Roman" w:cs="Times New Roman"/>
          <w:b/>
          <w:sz w:val="22"/>
          <w:szCs w:val="24"/>
        </w:rPr>
        <w:t>Supporting Documents (Volume 5)</w:t>
      </w:r>
      <w:r w:rsidRPr="00215C0D">
        <w:rPr>
          <w:rFonts w:eastAsia="Times New Roman" w:cs="Times New Roman"/>
          <w:sz w:val="22"/>
          <w:szCs w:val="24"/>
        </w:rPr>
        <w:t xml:space="preserve">. </w:t>
      </w:r>
      <w:r w:rsidR="006C05B1" w:rsidRPr="006C05B1">
        <w:rPr>
          <w:rFonts w:eastAsia="Times New Roman" w:cs="Times New Roman"/>
          <w:sz w:val="22"/>
          <w:szCs w:val="24"/>
        </w:rPr>
        <w:t xml:space="preserve">The optional Volume 5 is provided for small businesses to submit additional documentation to support the Technical Proposal (Volume 2) and the Cost Volume (Volume 3). Volume 5 is available for use when submitting Phase I and Phase II proposals. A template for Volume 5 is available on </w:t>
      </w:r>
      <w:hyperlink r:id="rId15" w:history="1">
        <w:r w:rsidR="00D46785" w:rsidRPr="00BA2BC3">
          <w:rPr>
            <w:rStyle w:val="Hyperlink"/>
            <w:rFonts w:eastAsia="Times New Roman" w:cs="Times New Roman"/>
            <w:sz w:val="22"/>
            <w:szCs w:val="24"/>
          </w:rPr>
          <w:t>https://navysbir.com/links_forms.htm</w:t>
        </w:r>
      </w:hyperlink>
      <w:r w:rsidR="006C05B1" w:rsidRPr="006C05B1">
        <w:rPr>
          <w:rFonts w:eastAsia="Times New Roman" w:cs="Times New Roman"/>
          <w:sz w:val="22"/>
          <w:szCs w:val="24"/>
        </w:rPr>
        <w:t>.</w:t>
      </w:r>
      <w:r w:rsidR="00D46785">
        <w:rPr>
          <w:rFonts w:eastAsia="Times New Roman" w:cs="Times New Roman"/>
          <w:sz w:val="22"/>
          <w:szCs w:val="24"/>
        </w:rPr>
        <w:t xml:space="preserve"> </w:t>
      </w:r>
      <w:r w:rsidR="006C05B1" w:rsidRPr="006C05B1">
        <w:rPr>
          <w:rFonts w:eastAsia="Times New Roman" w:cs="Times New Roman"/>
          <w:sz w:val="22"/>
          <w:szCs w:val="24"/>
        </w:rPr>
        <w:t xml:space="preserve">DON will not be using any of the information in Volume 5 during the evaluation. </w:t>
      </w:r>
    </w:p>
    <w:p w14:paraId="04207F61" w14:textId="77777777" w:rsidR="006C05B1" w:rsidRPr="006C05B1" w:rsidRDefault="006C05B1" w:rsidP="00D46785">
      <w:pPr>
        <w:ind w:left="720"/>
        <w:contextualSpacing/>
        <w:jc w:val="both"/>
        <w:rPr>
          <w:rFonts w:eastAsia="Times New Roman" w:cs="Times New Roman"/>
          <w:sz w:val="22"/>
          <w:szCs w:val="24"/>
        </w:rPr>
      </w:pPr>
    </w:p>
    <w:p w14:paraId="6DC35466" w14:textId="77777777" w:rsidR="006C05B1" w:rsidRPr="006C05B1" w:rsidRDefault="006C05B1" w:rsidP="00D46785">
      <w:pPr>
        <w:ind w:left="720"/>
        <w:contextualSpacing/>
        <w:jc w:val="both"/>
        <w:rPr>
          <w:rFonts w:eastAsia="Times New Roman" w:cs="Times New Roman"/>
          <w:sz w:val="22"/>
          <w:szCs w:val="24"/>
        </w:rPr>
      </w:pPr>
      <w:r w:rsidRPr="006C05B1">
        <w:rPr>
          <w:rFonts w:eastAsia="Times New Roman" w:cs="Times New Roman"/>
          <w:sz w:val="22"/>
          <w:szCs w:val="24"/>
        </w:rPr>
        <w:t xml:space="preserve">Note: Even if you are not providing documentation within Volume 5, DSIP will require you to respond to a “yes” or “no” question regarding the volume. Failure to respond may stop you from submitting and certifying your proposal. </w:t>
      </w:r>
    </w:p>
    <w:p w14:paraId="7A659780" w14:textId="6801D458" w:rsidR="00215C0D" w:rsidRPr="00215C0D" w:rsidRDefault="00215C0D" w:rsidP="00D46785">
      <w:pPr>
        <w:ind w:left="720"/>
        <w:contextualSpacing/>
        <w:jc w:val="both"/>
        <w:rPr>
          <w:rFonts w:eastAsia="Times New Roman" w:cs="Times New Roman"/>
          <w:sz w:val="22"/>
        </w:rPr>
      </w:pP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11E22DCA"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Additional Cost Information</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lastRenderedPageBreak/>
        <w:t xml:space="preserve">SBIR/STTR </w:t>
      </w:r>
      <w:r w:rsidR="00215C0D" w:rsidRPr="00215C0D">
        <w:rPr>
          <w:rFonts w:eastAsia="Times New Roman" w:cs="Times New Roman"/>
          <w:sz w:val="22"/>
          <w:szCs w:val="24"/>
        </w:rPr>
        <w:t>Funding Agreement Certification</w:t>
      </w:r>
    </w:p>
    <w:p w14:paraId="039A2D21" w14:textId="774AC9D8"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Technical Data Rights (Assertions</w:t>
      </w:r>
      <w:r w:rsidR="00F82445">
        <w:rPr>
          <w:rFonts w:eastAsia="Times New Roman" w:cs="Times New Roman"/>
          <w:sz w:val="22"/>
          <w:szCs w:val="24"/>
        </w:rPr>
        <w:t>)</w:t>
      </w:r>
    </w:p>
    <w:p w14:paraId="464AFF7F" w14:textId="081AD0D5"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w:t>
      </w:r>
      <w:r w:rsidR="00513899">
        <w:rPr>
          <w:rFonts w:eastAsia="Times New Roman" w:cs="Times New Roman"/>
          <w:sz w:val="22"/>
          <w:szCs w:val="24"/>
        </w:rPr>
        <w:t>P</w:t>
      </w:r>
      <w:r w:rsidR="00E33BDB">
        <w:rPr>
          <w:rFonts w:eastAsia="Times New Roman" w:cs="Times New Roman"/>
          <w:sz w:val="22"/>
          <w:szCs w:val="24"/>
        </w:rPr>
        <w:t xml:space="preserve">rime and </w:t>
      </w:r>
      <w:r w:rsidR="00513899">
        <w:rPr>
          <w:rFonts w:eastAsia="Times New Roman" w:cs="Times New Roman"/>
          <w:sz w:val="22"/>
          <w:szCs w:val="24"/>
        </w:rPr>
        <w:t>S</w:t>
      </w:r>
      <w:r w:rsidR="00E33BDB">
        <w:rPr>
          <w:rFonts w:eastAsia="Times New Roman" w:cs="Times New Roman"/>
          <w:sz w:val="22"/>
          <w:szCs w:val="24"/>
        </w:rPr>
        <w:t>ubcontractor</w:t>
      </w:r>
    </w:p>
    <w:p w14:paraId="2A44C1A5" w14:textId="07CA2D5C"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4F83A56B" w14:textId="1C02532F"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t xml:space="preserve">Prior, Current, or Pending Support of Similar Proposals or Awards </w:t>
      </w:r>
    </w:p>
    <w:p w14:paraId="68CE5AF0" w14:textId="0165865B" w:rsidR="00AE5238" w:rsidRPr="00E7128D"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Foreign Citizens</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77777777" w:rsidR="00215C0D" w:rsidRPr="00215C0D" w:rsidRDefault="00215C0D" w:rsidP="00215C0D">
      <w:pPr>
        <w:numPr>
          <w:ilvl w:val="0"/>
          <w:numId w:val="3"/>
        </w:numPr>
        <w:contextualSpacing/>
        <w:jc w:val="both"/>
        <w:rPr>
          <w:color w:val="FF0000"/>
          <w:sz w:val="22"/>
        </w:rPr>
      </w:pPr>
      <w:r w:rsidRPr="00215C0D">
        <w:rPr>
          <w:rFonts w:eastAsia="Times New Roman" w:cs="Times New Roman"/>
          <w:b/>
          <w:sz w:val="22"/>
          <w:szCs w:val="24"/>
        </w:rPr>
        <w:t>Fraud, Waste and Abuse Training Certification (Volume 6)</w:t>
      </w:r>
      <w:r w:rsidRPr="00215C0D">
        <w:rPr>
          <w:rFonts w:eastAsia="Times New Roman" w:cs="Times New Roman"/>
          <w:sz w:val="22"/>
          <w:szCs w:val="24"/>
        </w:rPr>
        <w:t>. DoD has implemented the optional Fraud, Waste and Abuse Training Certification (Volume 6). DON does not require evidence of Fraud, Waste and Abuse Training at the time of proposal submission. Therefore, DON will not require proposers to use Volume 6.</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3092453B" w14:textId="2C8B3B25" w:rsid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734E8F37" w14:textId="77777777" w:rsidR="000147DD" w:rsidRDefault="000147DD" w:rsidP="000147DD">
      <w:pPr>
        <w:pStyle w:val="ListParagraph"/>
        <w:rPr>
          <w:sz w:val="22"/>
        </w:rPr>
      </w:pPr>
    </w:p>
    <w:p w14:paraId="7468CB5C" w14:textId="77777777" w:rsidR="000147DD" w:rsidRPr="00771CC1" w:rsidRDefault="000147DD" w:rsidP="000147DD">
      <w:pPr>
        <w:ind w:left="720"/>
        <w:contextualSpacing/>
        <w:jc w:val="both"/>
        <w:rPr>
          <w:rFonts w:eastAsia="Times New Roman" w:cs="Times New Roman"/>
          <w:sz w:val="22"/>
          <w:szCs w:val="24"/>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54E3B4DB"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w:t>
      </w:r>
      <w:r w:rsidRPr="00215C0D">
        <w:rPr>
          <w:sz w:val="22"/>
        </w:rPr>
        <w:lastRenderedPageBreak/>
        <w:t xml:space="preserve">(Volume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w:t>
      </w:r>
      <w:r w:rsidR="004044EE" w:rsidRPr="00474642">
        <w:rPr>
          <w:sz w:val="22"/>
        </w:rPr>
        <w:t>$</w:t>
      </w:r>
      <w:r w:rsidR="00474642">
        <w:rPr>
          <w:sz w:val="22"/>
        </w:rPr>
        <w:t>1,700,000</w:t>
      </w:r>
      <w:r w:rsidR="004044EE">
        <w:rPr>
          <w:sz w:val="22"/>
        </w:rPr>
        <w:t xml:space="preserve">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7D1EAB6D" w:rsidR="006F00D4" w:rsidRPr="009A4A17" w:rsidRDefault="006F00D4" w:rsidP="006F00D4">
      <w:pPr>
        <w:rPr>
          <w:sz w:val="22"/>
        </w:rPr>
      </w:pPr>
      <w:r w:rsidRPr="009A4A17">
        <w:rPr>
          <w:sz w:val="22"/>
        </w:rPr>
        <w:t xml:space="preserve">NOTE: </w:t>
      </w:r>
      <w:r w:rsidR="00474642" w:rsidRPr="00474642">
        <w:rPr>
          <w:rFonts w:eastAsia="Times New Roman" w:cs="Times New Roman"/>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More information on the reporting requirements of awardees that receive TABA funding through the DON can be found on </w:t>
      </w:r>
      <w:hyperlink r:id="rId16" w:history="1">
        <w:r w:rsidR="00474642" w:rsidRPr="00474642">
          <w:rPr>
            <w:rFonts w:eastAsia="Times New Roman" w:cs="Times New Roman"/>
            <w:color w:val="0000FF"/>
            <w:sz w:val="22"/>
            <w:u w:val="single"/>
          </w:rPr>
          <w:t>https://www.navysbir.com/links_forms.htm</w:t>
        </w:r>
      </w:hyperlink>
      <w:r w:rsidR="00474642" w:rsidRPr="00474642">
        <w:rPr>
          <w:rFonts w:eastAsia="Times New Roman" w:cs="Times New Roman"/>
          <w:sz w:val="22"/>
        </w:rPr>
        <w:t xml:space="preserve">. </w:t>
      </w:r>
      <w:r w:rsidR="00E83894">
        <w:rPr>
          <w:rFonts w:eastAsia="Times New Roman" w:cs="Times New Roman"/>
          <w:sz w:val="22"/>
        </w:rPr>
        <w:t xml:space="preserve">Awardees that receive TABA funding through the DON will </w:t>
      </w:r>
      <w:r w:rsidR="00DF4811">
        <w:rPr>
          <w:rFonts w:eastAsia="Times New Roman" w:cs="Times New Roman"/>
          <w:sz w:val="22"/>
        </w:rPr>
        <w:t>upload the report</w:t>
      </w:r>
      <w:r w:rsidR="00F10653">
        <w:rPr>
          <w:rFonts w:eastAsia="Times New Roman" w:cs="Times New Roman"/>
          <w:sz w:val="22"/>
        </w:rPr>
        <w:t xml:space="preserve"> to </w:t>
      </w:r>
      <w:hyperlink r:id="rId17" w:history="1">
        <w:r w:rsidR="00E83894" w:rsidRPr="002C1BD8">
          <w:rPr>
            <w:rStyle w:val="Hyperlink"/>
            <w:sz w:val="22"/>
          </w:rPr>
          <w:t>https://www.navysbirprogram.com/navydeliverables/</w:t>
        </w:r>
      </w:hyperlink>
      <w:r w:rsidR="00E83894">
        <w:rPr>
          <w:color w:val="0000FF"/>
          <w:sz w:val="22"/>
          <w:u w:val="single"/>
        </w:rPr>
        <w:t>.</w:t>
      </w:r>
      <w:r w:rsidR="00DF4811">
        <w:rPr>
          <w:color w:val="0000FF"/>
          <w:sz w:val="22"/>
          <w:u w:val="single"/>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lastRenderedPageBreak/>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18"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77777777"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8.0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16FFF58C" w:rsidR="00215C0D" w:rsidRDefault="00215C0D" w:rsidP="00215C0D">
      <w:pPr>
        <w:jc w:val="both"/>
        <w:rPr>
          <w:sz w:val="22"/>
        </w:rPr>
      </w:pPr>
      <w:r w:rsidRPr="00215C0D">
        <w:rPr>
          <w:sz w:val="22"/>
        </w:rPr>
        <w:t xml:space="preserve">Protests of Phase I and II selections and awards must be directed to the cognizant Contracting Officer for the DON Topic </w:t>
      </w:r>
      <w:proofErr w:type="gramStart"/>
      <w:r w:rsidRPr="00215C0D">
        <w:rPr>
          <w:sz w:val="22"/>
        </w:rPr>
        <w:t>Number, or</w:t>
      </w:r>
      <w:proofErr w:type="gramEnd"/>
      <w:r w:rsidRPr="00215C0D">
        <w:rPr>
          <w:sz w:val="22"/>
        </w:rPr>
        <w:t xml:space="preserve">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747BCCC7" w14:textId="4C6BF517" w:rsidR="00CE7D07" w:rsidRDefault="00CE7D07" w:rsidP="00215C0D">
      <w:pPr>
        <w:jc w:val="both"/>
        <w:rPr>
          <w:sz w:val="22"/>
        </w:rPr>
      </w:pPr>
    </w:p>
    <w:p w14:paraId="64A64480" w14:textId="5F880805" w:rsidR="00CE7D07" w:rsidRPr="00215C0D" w:rsidRDefault="00CE7D07" w:rsidP="00215C0D">
      <w:pPr>
        <w:jc w:val="both"/>
        <w:rPr>
          <w:sz w:val="22"/>
        </w:rPr>
      </w:pPr>
      <w:r w:rsidRPr="00CE7D07">
        <w:rPr>
          <w:sz w:val="22"/>
        </w:rPr>
        <w:t xml:space="preserve">Protests to this BAA and proposal submission must be directed to the DoD SBIR/STTR BAA Contracting Officer, or </w:t>
      </w:r>
      <w:r w:rsidR="007415BA">
        <w:rPr>
          <w:sz w:val="22"/>
        </w:rPr>
        <w:t>filed</w:t>
      </w:r>
      <w:r w:rsidRPr="00CE7D07">
        <w:rPr>
          <w:sz w:val="22"/>
        </w:rPr>
        <w:t xml:space="preserve"> with the GAO. Contact information for the DoD SBIR/STTR BAA Contracting Officer can be found in section 4.11 of the DoD SBIR/STTR Program BAA.</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19"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76CD1A08"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4.14.b of the DoD SBIR/STTR Program BAA for Phase II awards, the DON may (under appropriate circumstances) propose the use of </w:t>
      </w:r>
      <w:proofErr w:type="gramStart"/>
      <w:r w:rsidRPr="00215C0D">
        <w:rPr>
          <w:sz w:val="22"/>
        </w:rPr>
        <w:t>an Other</w:t>
      </w:r>
      <w:proofErr w:type="gramEnd"/>
      <w:r w:rsidRPr="00215C0D">
        <w:rPr>
          <w:sz w:val="22"/>
        </w:rPr>
        <w:t xml:space="preserve"> Transaction Agreement (OTA) as specified in 10 U.S.C. 2371/10 U.S.C. 2371b and related </w:t>
      </w:r>
      <w:r w:rsidRPr="00215C0D">
        <w:rPr>
          <w:sz w:val="22"/>
        </w:rPr>
        <w:lastRenderedPageBreak/>
        <w:t xml:space="preserve">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4759FBE9"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is $</w:t>
      </w:r>
      <w:r w:rsidR="00474642">
        <w:rPr>
          <w:sz w:val="22"/>
        </w:rPr>
        <w:t>1,700,000</w:t>
      </w:r>
      <w:r w:rsidRPr="00215C0D">
        <w:rPr>
          <w:sz w:val="22"/>
        </w:rPr>
        <w:t xml:space="preserve"> (unless non-SBIR/STTR funding is being added). Individual SYSCOMs may award amounts, including Base and all Options, of less than $</w:t>
      </w:r>
      <w:r w:rsidR="00474642">
        <w:rPr>
          <w:sz w:val="22"/>
        </w:rPr>
        <w:t>1,700,000</w:t>
      </w:r>
      <w:r w:rsidRPr="00215C0D">
        <w:rPr>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194F8C32"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w:t>
      </w:r>
      <w:proofErr w:type="gramStart"/>
      <w:r w:rsidRPr="00215C0D">
        <w:rPr>
          <w:rFonts w:eastAsia="Times New Roman" w:cs="Times New Roman"/>
          <w:sz w:val="22"/>
        </w:rPr>
        <w:t>evaluation, but</w:t>
      </w:r>
      <w:proofErr w:type="gramEnd"/>
      <w:r w:rsidRPr="00215C0D">
        <w:rPr>
          <w:rFonts w:eastAsia="Times New Roman" w:cs="Times New Roman"/>
          <w:sz w:val="22"/>
        </w:rPr>
        <w:t xml:space="preserve">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0" w:history="1">
        <w:r w:rsidRPr="00215C0D">
          <w:rPr>
            <w:rFonts w:eastAsiaTheme="majorEastAsia" w:cs="Times New Roman"/>
            <w:color w:val="0000FF"/>
            <w:sz w:val="22"/>
            <w:u w:val="single"/>
          </w:rPr>
          <w:t>http://www.onr.navy.mil/About-ONR/compliance-protections/Research-Protections/Human-Subject-Research.aspx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lastRenderedPageBreak/>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w:t>
      </w:r>
      <w:proofErr w:type="spellStart"/>
      <w:r w:rsidRPr="00215C0D">
        <w:rPr>
          <w:sz w:val="22"/>
        </w:rPr>
        <w:t>Outbrief</w:t>
      </w:r>
      <w:proofErr w:type="spellEnd"/>
      <w:r w:rsidRPr="00215C0D">
        <w:rPr>
          <w:sz w:val="22"/>
        </w:rPr>
        <w:t xml:space="preserve">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0647EE5C" w14:textId="77777777" w:rsidR="00215C0D" w:rsidRPr="00215C0D" w:rsidRDefault="00215C0D" w:rsidP="00215C0D">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108FE80A" w14:textId="77777777" w:rsidR="00DF1F97" w:rsidRDefault="00DF1F97" w:rsidP="00215C0D">
      <w:pPr>
        <w:spacing w:after="60"/>
        <w:jc w:val="both"/>
        <w:outlineLvl w:val="0"/>
        <w:rPr>
          <w:b/>
          <w:color w:val="000000"/>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43A59136" w14:textId="06F804DD" w:rsidR="005208BD" w:rsidRDefault="00215C0D" w:rsidP="00817A2B">
      <w:pPr>
        <w:jc w:val="both"/>
        <w:rPr>
          <w:sz w:val="22"/>
        </w:rPr>
      </w:pPr>
      <w:r w:rsidRPr="00215C0D">
        <w:rPr>
          <w:sz w:val="22"/>
        </w:rPr>
        <w:t>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Technical Data 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73DF4622" w14:textId="57927ADD" w:rsidR="007F2064" w:rsidRDefault="007F2064">
      <w:pPr>
        <w:rPr>
          <w:sz w:val="22"/>
        </w:rPr>
      </w:pPr>
      <w:r>
        <w:rPr>
          <w:sz w:val="22"/>
        </w:rPr>
        <w:br w:type="page"/>
      </w:r>
    </w:p>
    <w:p w14:paraId="2DC63ED3" w14:textId="1A46C142" w:rsidR="007F2064" w:rsidRPr="005618B4" w:rsidRDefault="007F2064" w:rsidP="007F2064">
      <w:pPr>
        <w:pStyle w:val="paragraph"/>
        <w:spacing w:before="0" w:beforeAutospacing="0" w:after="0" w:afterAutospacing="0"/>
        <w:jc w:val="center"/>
        <w:textAlignment w:val="baseline"/>
        <w:rPr>
          <w:rFonts w:ascii="Segoe UI" w:hAnsi="Segoe UI" w:cs="Segoe UI"/>
        </w:rPr>
      </w:pPr>
      <w:r w:rsidRPr="005618B4">
        <w:rPr>
          <w:rStyle w:val="normaltextrun"/>
          <w:rFonts w:eastAsiaTheme="majorEastAsia"/>
          <w:b/>
          <w:bCs/>
        </w:rPr>
        <w:lastRenderedPageBreak/>
        <w:t>NAVY</w:t>
      </w:r>
      <w:r w:rsidRPr="005618B4">
        <w:rPr>
          <w:rStyle w:val="eop"/>
        </w:rPr>
        <w:t> </w:t>
      </w:r>
    </w:p>
    <w:p w14:paraId="2964F9B3" w14:textId="77777777" w:rsidR="007F2064" w:rsidRPr="005618B4" w:rsidRDefault="007F2064" w:rsidP="007F2064">
      <w:pPr>
        <w:pStyle w:val="paragraph"/>
        <w:spacing w:before="0" w:beforeAutospacing="0" w:after="0" w:afterAutospacing="0"/>
        <w:jc w:val="both"/>
        <w:textAlignment w:val="baseline"/>
        <w:rPr>
          <w:rFonts w:ascii="Segoe UI" w:hAnsi="Segoe UI" w:cs="Segoe UI"/>
        </w:rPr>
      </w:pPr>
      <w:r w:rsidRPr="005618B4">
        <w:rPr>
          <w:rStyle w:val="normaltextrun"/>
          <w:rFonts w:eastAsiaTheme="majorEastAsia"/>
        </w:rPr>
        <w:t> </w:t>
      </w:r>
      <w:r w:rsidRPr="005618B4">
        <w:rPr>
          <w:rStyle w:val="eop"/>
        </w:rPr>
        <w:t> </w:t>
      </w:r>
    </w:p>
    <w:p w14:paraId="21CC01B9" w14:textId="0438C923" w:rsidR="007F2064" w:rsidRPr="005618B4" w:rsidRDefault="007F2064" w:rsidP="007F2064">
      <w:pPr>
        <w:pStyle w:val="paragraph"/>
        <w:spacing w:before="0" w:beforeAutospacing="0" w:after="0" w:afterAutospacing="0"/>
        <w:jc w:val="center"/>
        <w:textAlignment w:val="baseline"/>
        <w:rPr>
          <w:rFonts w:ascii="Segoe UI" w:hAnsi="Segoe UI" w:cs="Segoe UI"/>
        </w:rPr>
      </w:pPr>
      <w:r w:rsidRPr="005618B4">
        <w:rPr>
          <w:rStyle w:val="normaltextrun"/>
          <w:rFonts w:eastAsiaTheme="majorEastAsia"/>
          <w:b/>
          <w:bCs/>
        </w:rPr>
        <w:t>NAVY SBIR 20.2 Topic Index</w:t>
      </w:r>
      <w:r w:rsidRPr="005618B4">
        <w:rPr>
          <w:rStyle w:val="normaltextrun"/>
          <w:rFonts w:eastAsiaTheme="majorEastAsia"/>
        </w:rPr>
        <w:t> </w:t>
      </w:r>
      <w:r w:rsidRPr="005618B4">
        <w:rPr>
          <w:rStyle w:val="eop"/>
        </w:rPr>
        <w:t> </w:t>
      </w:r>
    </w:p>
    <w:p w14:paraId="2A6AEACD" w14:textId="77777777" w:rsidR="007F2064" w:rsidRPr="005618B4" w:rsidRDefault="007F2064" w:rsidP="007F2064">
      <w:pPr>
        <w:pStyle w:val="paragraph"/>
        <w:spacing w:before="0" w:beforeAutospacing="0" w:after="0" w:afterAutospacing="0"/>
        <w:jc w:val="center"/>
        <w:textAlignment w:val="baseline"/>
        <w:rPr>
          <w:rFonts w:ascii="Segoe UI" w:hAnsi="Segoe UI" w:cs="Segoe UI"/>
          <w:sz w:val="22"/>
          <w:szCs w:val="22"/>
        </w:rPr>
      </w:pPr>
      <w:r w:rsidRPr="005618B4">
        <w:rPr>
          <w:rStyle w:val="eop"/>
          <w:sz w:val="22"/>
          <w:szCs w:val="22"/>
        </w:rPr>
        <w:t> </w:t>
      </w:r>
    </w:p>
    <w:p w14:paraId="62BE9715" w14:textId="77777777" w:rsidR="007F2064" w:rsidRPr="005618B4" w:rsidRDefault="007F2064" w:rsidP="007F2064">
      <w:pPr>
        <w:pStyle w:val="paragraph"/>
        <w:spacing w:before="0" w:beforeAutospacing="0" w:after="0" w:afterAutospacing="0"/>
        <w:textAlignment w:val="baseline"/>
        <w:rPr>
          <w:rFonts w:ascii="Segoe UI" w:hAnsi="Segoe UI" w:cs="Segoe UI"/>
          <w:sz w:val="22"/>
          <w:szCs w:val="22"/>
        </w:rPr>
      </w:pPr>
      <w:r w:rsidRPr="005618B4">
        <w:rPr>
          <w:rStyle w:val="eop"/>
          <w:sz w:val="22"/>
          <w:szCs w:val="22"/>
        </w:rPr>
        <w:t> </w:t>
      </w:r>
    </w:p>
    <w:p w14:paraId="4EED1F8F" w14:textId="326FEFD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N202-088</w:t>
      </w:r>
      <w:r w:rsidRPr="005618B4">
        <w:rPr>
          <w:rFonts w:eastAsia="Times New Roman" w:cs="Times New Roman"/>
          <w:color w:val="000000"/>
          <w:sz w:val="22"/>
        </w:rPr>
        <w:tab/>
      </w:r>
      <w:r w:rsidRPr="005618B4">
        <w:rPr>
          <w:rFonts w:eastAsia="Times New Roman" w:cs="Times New Roman"/>
          <w:noProof/>
          <w:color w:val="000000"/>
          <w:sz w:val="22"/>
        </w:rPr>
        <w:t>Advanced Low-Level Parachute System</w:t>
      </w:r>
    </w:p>
    <w:p w14:paraId="6232778D" w14:textId="1FE3D37F"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N202-089</w:t>
      </w:r>
      <w:r w:rsidRPr="005618B4">
        <w:rPr>
          <w:rFonts w:eastAsia="Times New Roman" w:cs="Times New Roman"/>
          <w:color w:val="000000"/>
          <w:sz w:val="22"/>
        </w:rPr>
        <w:tab/>
      </w:r>
      <w:r w:rsidRPr="005618B4">
        <w:rPr>
          <w:rFonts w:eastAsia="Times New Roman" w:cs="Times New Roman"/>
          <w:noProof/>
          <w:color w:val="000000"/>
          <w:sz w:val="22"/>
        </w:rPr>
        <w:t>Focused Enhanced Acoustic-Driver Technologies (FEAT) for Long Range Non-Lethal Hail and Warn Capabilities</w:t>
      </w:r>
    </w:p>
    <w:p w14:paraId="610BFF7A" w14:textId="77CDB9F6"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N202-090</w:t>
      </w:r>
      <w:r w:rsidRPr="005618B4">
        <w:rPr>
          <w:rFonts w:eastAsia="Times New Roman" w:cs="Times New Roman"/>
          <w:color w:val="000000"/>
          <w:sz w:val="22"/>
        </w:rPr>
        <w:tab/>
      </w:r>
      <w:r w:rsidRPr="005618B4">
        <w:rPr>
          <w:rFonts w:eastAsia="Times New Roman" w:cs="Times New Roman"/>
          <w:noProof/>
          <w:color w:val="000000"/>
          <w:sz w:val="22"/>
        </w:rPr>
        <w:t>Single Amphibious Integrated Precision Augmented Reality Navigation (SAIPAN) System</w:t>
      </w:r>
    </w:p>
    <w:p w14:paraId="192F9A45" w14:textId="658389C6"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N202-091</w:t>
      </w:r>
      <w:r w:rsidRPr="005618B4">
        <w:rPr>
          <w:rFonts w:eastAsia="Times New Roman" w:cs="Times New Roman"/>
          <w:color w:val="000000"/>
          <w:sz w:val="22"/>
        </w:rPr>
        <w:tab/>
      </w:r>
      <w:r w:rsidRPr="005618B4">
        <w:rPr>
          <w:rFonts w:eastAsia="Times New Roman" w:cs="Times New Roman"/>
          <w:noProof/>
          <w:color w:val="000000"/>
          <w:sz w:val="22"/>
        </w:rPr>
        <w:t>Artificial Intelligence for Anti-Submarine Warfare Training</w:t>
      </w:r>
    </w:p>
    <w:p w14:paraId="6D475F8C" w14:textId="3C50D410"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N202-092</w:t>
      </w:r>
      <w:r w:rsidRPr="005618B4">
        <w:rPr>
          <w:rFonts w:eastAsia="Times New Roman" w:cs="Times New Roman"/>
          <w:color w:val="000000"/>
          <w:sz w:val="22"/>
        </w:rPr>
        <w:tab/>
      </w:r>
      <w:r w:rsidRPr="005618B4">
        <w:rPr>
          <w:rFonts w:eastAsia="Times New Roman" w:cs="Times New Roman"/>
          <w:noProof/>
          <w:color w:val="000000"/>
          <w:sz w:val="22"/>
        </w:rPr>
        <w:t>Small Space, Weight, and Power (SWaP) Multilevel Security Cross-Domain Solution</w:t>
      </w:r>
    </w:p>
    <w:p w14:paraId="3D39327A" w14:textId="7DAF0D8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N202-093</w:t>
      </w:r>
      <w:r w:rsidRPr="005618B4">
        <w:rPr>
          <w:rFonts w:eastAsia="Times New Roman" w:cs="Times New Roman"/>
          <w:color w:val="000000"/>
          <w:sz w:val="22"/>
        </w:rPr>
        <w:tab/>
      </w:r>
      <w:r w:rsidRPr="005618B4">
        <w:rPr>
          <w:rFonts w:eastAsia="Times New Roman" w:cs="Times New Roman"/>
          <w:noProof/>
          <w:color w:val="000000"/>
          <w:sz w:val="22"/>
        </w:rPr>
        <w:t>Physical Measurement of Corrosion and Wear Damage on Splined Surfaces</w:t>
      </w:r>
    </w:p>
    <w:p w14:paraId="1F82226A" w14:textId="21108C0B"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N202-094</w:t>
      </w:r>
      <w:r w:rsidRPr="005618B4">
        <w:rPr>
          <w:rFonts w:eastAsia="Times New Roman" w:cs="Times New Roman"/>
          <w:color w:val="000000"/>
          <w:sz w:val="22"/>
        </w:rPr>
        <w:tab/>
      </w:r>
      <w:r w:rsidRPr="005618B4">
        <w:rPr>
          <w:rFonts w:eastAsia="Times New Roman" w:cs="Times New Roman"/>
          <w:noProof/>
          <w:color w:val="000000"/>
          <w:sz w:val="22"/>
        </w:rPr>
        <w:t>Novel Multi-Physics Based Simulation Tool for Rapid Heat Damage Assessment of Polymer Composite Aircraft Structures Resulting from Excessive Heat Exposure</w:t>
      </w:r>
    </w:p>
    <w:p w14:paraId="3E777813" w14:textId="5CB08549"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N202-095</w:t>
      </w:r>
      <w:r w:rsidRPr="005618B4">
        <w:rPr>
          <w:rFonts w:eastAsia="Times New Roman" w:cs="Times New Roman"/>
          <w:color w:val="000000"/>
          <w:sz w:val="22"/>
        </w:rPr>
        <w:tab/>
      </w:r>
      <w:r w:rsidRPr="005618B4">
        <w:rPr>
          <w:rFonts w:eastAsia="Times New Roman" w:cs="Times New Roman"/>
          <w:noProof/>
          <w:color w:val="000000"/>
          <w:sz w:val="22"/>
        </w:rPr>
        <w:t>Next Generation Radar and Electronic Warfare Processing Technology</w:t>
      </w:r>
    </w:p>
    <w:p w14:paraId="330E2563" w14:textId="66E1168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N202-096</w:t>
      </w:r>
      <w:r w:rsidRPr="005618B4">
        <w:rPr>
          <w:rFonts w:eastAsia="Times New Roman" w:cs="Times New Roman"/>
          <w:color w:val="000000"/>
          <w:sz w:val="22"/>
        </w:rPr>
        <w:tab/>
      </w:r>
      <w:r w:rsidRPr="005618B4">
        <w:rPr>
          <w:rFonts w:eastAsia="Times New Roman" w:cs="Times New Roman"/>
          <w:noProof/>
          <w:color w:val="000000"/>
          <w:sz w:val="22"/>
        </w:rPr>
        <w:t>Rotorcraft Crash Sensor for Active Safety Systems and Mishap Dynamics Recording</w:t>
      </w:r>
    </w:p>
    <w:p w14:paraId="0CD4D062" w14:textId="341015A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N202-097</w:t>
      </w:r>
      <w:r w:rsidRPr="005618B4">
        <w:rPr>
          <w:rFonts w:eastAsia="Times New Roman" w:cs="Times New Roman"/>
          <w:color w:val="000000"/>
          <w:sz w:val="22"/>
        </w:rPr>
        <w:tab/>
      </w:r>
      <w:r w:rsidRPr="005618B4">
        <w:rPr>
          <w:rFonts w:eastAsia="Times New Roman" w:cs="Times New Roman"/>
          <w:noProof/>
          <w:color w:val="000000"/>
          <w:sz w:val="22"/>
        </w:rPr>
        <w:t>Innovative Aerial Refueling Hose Stowage Methods</w:t>
      </w:r>
    </w:p>
    <w:p w14:paraId="1D9B5D6D" w14:textId="09F5508E"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N202-098</w:t>
      </w:r>
      <w:r w:rsidRPr="005618B4">
        <w:rPr>
          <w:rFonts w:eastAsia="Times New Roman" w:cs="Times New Roman"/>
          <w:color w:val="000000"/>
          <w:sz w:val="22"/>
        </w:rPr>
        <w:tab/>
      </w:r>
      <w:r w:rsidRPr="005618B4">
        <w:rPr>
          <w:rFonts w:eastAsia="Times New Roman" w:cs="Times New Roman"/>
          <w:noProof/>
          <w:color w:val="000000"/>
          <w:sz w:val="22"/>
        </w:rPr>
        <w:t>Voice Recognition to Support Assessment of Cross Platform Situational Awareness and Decision Making</w:t>
      </w:r>
    </w:p>
    <w:p w14:paraId="3ADB24DE" w14:textId="3701445A"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N202-099</w:t>
      </w:r>
      <w:r w:rsidRPr="005618B4">
        <w:rPr>
          <w:rFonts w:eastAsia="Times New Roman" w:cs="Times New Roman"/>
          <w:color w:val="000000"/>
          <w:sz w:val="22"/>
        </w:rPr>
        <w:tab/>
      </w:r>
      <w:r w:rsidRPr="005618B4">
        <w:rPr>
          <w:rFonts w:eastAsia="Times New Roman" w:cs="Times New Roman"/>
          <w:noProof/>
          <w:color w:val="000000"/>
          <w:sz w:val="22"/>
        </w:rPr>
        <w:t>Implementing Neural Network Algorithms on Neuromorphic Processors</w:t>
      </w:r>
    </w:p>
    <w:p w14:paraId="7FD92743" w14:textId="0876ED1F"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N202-100</w:t>
      </w:r>
      <w:r w:rsidRPr="005618B4">
        <w:rPr>
          <w:rFonts w:eastAsia="Times New Roman" w:cs="Times New Roman"/>
          <w:color w:val="000000"/>
          <w:sz w:val="22"/>
        </w:rPr>
        <w:tab/>
      </w:r>
      <w:r w:rsidRPr="005618B4">
        <w:rPr>
          <w:rFonts w:eastAsia="Times New Roman" w:cs="Times New Roman"/>
          <w:noProof/>
          <w:color w:val="000000"/>
          <w:sz w:val="22"/>
        </w:rPr>
        <w:t>Preload Indicating Hardware for Bolted Joints</w:t>
      </w:r>
    </w:p>
    <w:p w14:paraId="56F42C15" w14:textId="070AA810"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N202-101</w:t>
      </w:r>
      <w:r w:rsidRPr="005618B4">
        <w:rPr>
          <w:rFonts w:eastAsia="Times New Roman" w:cs="Times New Roman"/>
          <w:color w:val="000000"/>
          <w:sz w:val="22"/>
        </w:rPr>
        <w:tab/>
      </w:r>
      <w:r w:rsidRPr="005618B4">
        <w:rPr>
          <w:rFonts w:eastAsia="Times New Roman" w:cs="Times New Roman"/>
          <w:noProof/>
          <w:color w:val="000000"/>
          <w:sz w:val="22"/>
        </w:rPr>
        <w:t>Data Link Bottleneck Reduction Using Big Data Analytics</w:t>
      </w:r>
    </w:p>
    <w:p w14:paraId="50AE459B" w14:textId="12F36810"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N202-102</w:t>
      </w:r>
      <w:r w:rsidRPr="005618B4">
        <w:rPr>
          <w:rFonts w:eastAsia="Times New Roman" w:cs="Times New Roman"/>
          <w:color w:val="000000"/>
          <w:sz w:val="22"/>
        </w:rPr>
        <w:tab/>
      </w:r>
      <w:r w:rsidRPr="005618B4">
        <w:rPr>
          <w:rFonts w:eastAsia="Times New Roman" w:cs="Times New Roman"/>
          <w:noProof/>
          <w:color w:val="000000"/>
          <w:sz w:val="22"/>
        </w:rPr>
        <w:t>Low Cost High Performance A Size Sonobuoy Power Amplifier</w:t>
      </w:r>
    </w:p>
    <w:p w14:paraId="41946FEC" w14:textId="51BAB0D0"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N202-103</w:t>
      </w:r>
      <w:r w:rsidRPr="005618B4">
        <w:rPr>
          <w:rFonts w:eastAsia="Times New Roman" w:cs="Times New Roman"/>
          <w:color w:val="000000"/>
          <w:sz w:val="22"/>
        </w:rPr>
        <w:tab/>
      </w:r>
      <w:r w:rsidRPr="005618B4">
        <w:rPr>
          <w:rFonts w:eastAsia="Times New Roman" w:cs="Times New Roman"/>
          <w:noProof/>
          <w:color w:val="000000"/>
          <w:sz w:val="22"/>
        </w:rPr>
        <w:t>Software Toolset for Rapid Finite Element (FE) Mesh Generation of As-Built Large Laminated Composite Structural Components</w:t>
      </w:r>
    </w:p>
    <w:p w14:paraId="36CACD60" w14:textId="7F54239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N202-104</w:t>
      </w:r>
      <w:r w:rsidRPr="005618B4">
        <w:rPr>
          <w:rFonts w:eastAsia="Times New Roman" w:cs="Times New Roman"/>
          <w:color w:val="000000"/>
          <w:sz w:val="22"/>
        </w:rPr>
        <w:tab/>
      </w:r>
      <w:r w:rsidRPr="005618B4">
        <w:rPr>
          <w:rFonts w:eastAsia="Times New Roman" w:cs="Times New Roman"/>
          <w:noProof/>
          <w:color w:val="000000"/>
          <w:sz w:val="22"/>
        </w:rPr>
        <w:t>Time and Phase Synchronization of Radio Frequency (RF) Sources across Multiple Unmanned Aerial System/Vehicle (UAS/UAV) Platforms</w:t>
      </w:r>
    </w:p>
    <w:p w14:paraId="3AB1D878" w14:textId="42E0E8AB"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N202-105</w:t>
      </w:r>
      <w:r w:rsidRPr="005618B4">
        <w:rPr>
          <w:rFonts w:eastAsia="Times New Roman" w:cs="Times New Roman"/>
          <w:color w:val="000000"/>
          <w:sz w:val="22"/>
        </w:rPr>
        <w:tab/>
      </w:r>
      <w:r w:rsidRPr="005618B4">
        <w:rPr>
          <w:rFonts w:eastAsia="Times New Roman" w:cs="Times New Roman"/>
          <w:noProof/>
          <w:color w:val="000000"/>
          <w:sz w:val="22"/>
        </w:rPr>
        <w:t>Digital Twin Technologies to Improve Mission Readiness and Sustainment</w:t>
      </w:r>
    </w:p>
    <w:p w14:paraId="5897E357" w14:textId="2D434D9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N202-106</w:t>
      </w:r>
      <w:r w:rsidRPr="005618B4">
        <w:rPr>
          <w:rFonts w:eastAsia="Times New Roman" w:cs="Times New Roman"/>
          <w:color w:val="000000"/>
          <w:sz w:val="22"/>
        </w:rPr>
        <w:tab/>
      </w:r>
      <w:r w:rsidRPr="005618B4">
        <w:rPr>
          <w:rFonts w:eastAsia="Times New Roman" w:cs="Times New Roman"/>
          <w:noProof/>
          <w:color w:val="000000"/>
          <w:sz w:val="22"/>
        </w:rPr>
        <w:t>Alternative Software Architecture for Personal Electronic Maintenance Aids</w:t>
      </w:r>
    </w:p>
    <w:p w14:paraId="53B9A9BE" w14:textId="099BD864"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N202-107</w:t>
      </w:r>
      <w:r w:rsidRPr="005618B4">
        <w:rPr>
          <w:rFonts w:eastAsia="Times New Roman" w:cs="Times New Roman"/>
          <w:color w:val="000000"/>
          <w:sz w:val="22"/>
        </w:rPr>
        <w:tab/>
      </w:r>
      <w:r w:rsidRPr="005618B4">
        <w:rPr>
          <w:rFonts w:eastAsia="Times New Roman" w:cs="Times New Roman"/>
          <w:noProof/>
          <w:color w:val="000000"/>
          <w:sz w:val="22"/>
        </w:rPr>
        <w:t>Radio Communication with Hypersonic Aerial Vehicle</w:t>
      </w:r>
    </w:p>
    <w:p w14:paraId="09778312" w14:textId="70D6AEBE"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N202-108</w:t>
      </w:r>
      <w:r w:rsidRPr="005618B4">
        <w:rPr>
          <w:rFonts w:eastAsia="Times New Roman" w:cs="Times New Roman"/>
          <w:color w:val="000000"/>
          <w:sz w:val="22"/>
        </w:rPr>
        <w:tab/>
      </w:r>
      <w:r w:rsidRPr="005618B4">
        <w:rPr>
          <w:rFonts w:eastAsia="Times New Roman" w:cs="Times New Roman"/>
          <w:noProof/>
          <w:color w:val="000000"/>
          <w:sz w:val="22"/>
        </w:rPr>
        <w:t>Modeling Neuromorphic and Advanced Computing Architectures</w:t>
      </w:r>
    </w:p>
    <w:p w14:paraId="3A65628F" w14:textId="73C6E506"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N202-109</w:t>
      </w:r>
      <w:r w:rsidRPr="005618B4">
        <w:rPr>
          <w:rFonts w:eastAsia="Times New Roman" w:cs="Times New Roman"/>
          <w:color w:val="000000"/>
          <w:sz w:val="22"/>
        </w:rPr>
        <w:tab/>
      </w:r>
      <w:r w:rsidRPr="005618B4">
        <w:rPr>
          <w:rFonts w:eastAsia="Times New Roman" w:cs="Times New Roman"/>
          <w:noProof/>
          <w:color w:val="000000"/>
          <w:sz w:val="22"/>
        </w:rPr>
        <w:t>Launch System for Group 3-5 Unmanned Aerial Vehicles for Land- and Sea-Based Operations</w:t>
      </w:r>
    </w:p>
    <w:p w14:paraId="4F26C181" w14:textId="45A99F12"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N202-110</w:t>
      </w:r>
      <w:r w:rsidRPr="005618B4">
        <w:rPr>
          <w:rFonts w:eastAsia="Times New Roman" w:cs="Times New Roman"/>
          <w:color w:val="000000"/>
          <w:sz w:val="22"/>
        </w:rPr>
        <w:tab/>
      </w:r>
      <w:r w:rsidRPr="005618B4">
        <w:rPr>
          <w:rFonts w:eastAsia="Times New Roman" w:cs="Times New Roman"/>
          <w:noProof/>
          <w:color w:val="000000"/>
          <w:sz w:val="22"/>
        </w:rPr>
        <w:t>Miniature 360-degree Multispectral/Hyperspectral Staring Imaging System</w:t>
      </w:r>
    </w:p>
    <w:p w14:paraId="576EE747" w14:textId="23EEF59B"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lastRenderedPageBreak/>
        <w:t>N202-111</w:t>
      </w:r>
      <w:r w:rsidRPr="005618B4">
        <w:rPr>
          <w:rFonts w:eastAsia="Times New Roman" w:cs="Times New Roman"/>
          <w:color w:val="000000"/>
          <w:sz w:val="22"/>
        </w:rPr>
        <w:tab/>
      </w:r>
      <w:r w:rsidRPr="005618B4">
        <w:rPr>
          <w:rFonts w:eastAsia="Times New Roman" w:cs="Times New Roman"/>
          <w:noProof/>
          <w:color w:val="000000"/>
          <w:sz w:val="22"/>
        </w:rPr>
        <w:t>Desktop Tactics Trainer for Maritime Patrol Aircraft</w:t>
      </w:r>
    </w:p>
    <w:p w14:paraId="47C4FE86" w14:textId="1A76AC59"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N202-112</w:t>
      </w:r>
      <w:r w:rsidRPr="005618B4">
        <w:rPr>
          <w:rFonts w:eastAsia="Times New Roman" w:cs="Times New Roman"/>
          <w:color w:val="000000"/>
          <w:sz w:val="22"/>
        </w:rPr>
        <w:tab/>
      </w:r>
      <w:r w:rsidRPr="005618B4">
        <w:rPr>
          <w:rFonts w:eastAsia="Times New Roman" w:cs="Times New Roman"/>
          <w:noProof/>
          <w:color w:val="000000"/>
          <w:sz w:val="22"/>
        </w:rPr>
        <w:t>Multi-Domain Data Fusion Instructional Strategies and Methods for Pilot Training</w:t>
      </w:r>
    </w:p>
    <w:p w14:paraId="1623626C" w14:textId="25CDBC3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N202-113</w:t>
      </w:r>
      <w:r w:rsidRPr="005618B4">
        <w:rPr>
          <w:rFonts w:eastAsia="Times New Roman" w:cs="Times New Roman"/>
          <w:color w:val="000000"/>
          <w:sz w:val="22"/>
        </w:rPr>
        <w:tab/>
      </w:r>
      <w:r w:rsidRPr="005618B4">
        <w:rPr>
          <w:rFonts w:eastAsia="Times New Roman" w:cs="Times New Roman"/>
          <w:noProof/>
          <w:color w:val="000000"/>
          <w:sz w:val="22"/>
        </w:rPr>
        <w:t>Mid-Body Range Safety Subsystem</w:t>
      </w:r>
    </w:p>
    <w:p w14:paraId="158835EC" w14:textId="0BFFB824"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N202-114</w:t>
      </w:r>
      <w:r w:rsidRPr="005618B4">
        <w:rPr>
          <w:rFonts w:eastAsia="Times New Roman" w:cs="Times New Roman"/>
          <w:color w:val="000000"/>
          <w:sz w:val="22"/>
        </w:rPr>
        <w:tab/>
      </w:r>
      <w:r w:rsidRPr="005618B4">
        <w:rPr>
          <w:rFonts w:eastAsia="Times New Roman" w:cs="Times New Roman"/>
          <w:noProof/>
          <w:color w:val="000000"/>
          <w:sz w:val="22"/>
        </w:rPr>
        <w:t>High Fidelity Electromagnetic Design, Prediction and Optimization of Airborne Radomes</w:t>
      </w:r>
    </w:p>
    <w:p w14:paraId="0B4ABC30" w14:textId="6D5F2F6F"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N202-115</w:t>
      </w:r>
      <w:r w:rsidRPr="005618B4">
        <w:rPr>
          <w:rFonts w:eastAsia="Times New Roman" w:cs="Times New Roman"/>
          <w:color w:val="000000"/>
          <w:sz w:val="22"/>
        </w:rPr>
        <w:tab/>
      </w:r>
      <w:r w:rsidRPr="005618B4">
        <w:rPr>
          <w:rFonts w:eastAsia="Times New Roman" w:cs="Times New Roman"/>
          <w:noProof/>
          <w:color w:val="000000"/>
          <w:sz w:val="22"/>
        </w:rPr>
        <w:t>Monolithic Dual-Band Quantum Cascade Laser</w:t>
      </w:r>
    </w:p>
    <w:p w14:paraId="2DB8E235" w14:textId="666DC206" w:rsidR="00467A7F" w:rsidRDefault="007F2064" w:rsidP="007F2064">
      <w:pPr>
        <w:spacing w:line="360" w:lineRule="auto"/>
        <w:ind w:left="1620" w:hanging="1620"/>
        <w:rPr>
          <w:rFonts w:eastAsia="Times New Roman" w:cs="Times New Roman"/>
          <w:noProof/>
          <w:color w:val="000000"/>
          <w:sz w:val="22"/>
        </w:rPr>
      </w:pPr>
      <w:r w:rsidRPr="00467A7F">
        <w:rPr>
          <w:rFonts w:eastAsia="Times New Roman" w:cs="Times New Roman"/>
          <w:strike/>
          <w:noProof/>
          <w:color w:val="000000"/>
          <w:sz w:val="22"/>
        </w:rPr>
        <w:t>N202-116</w:t>
      </w:r>
      <w:r w:rsidRPr="005618B4">
        <w:rPr>
          <w:rFonts w:eastAsia="Times New Roman" w:cs="Times New Roman"/>
          <w:color w:val="000000"/>
          <w:sz w:val="22"/>
        </w:rPr>
        <w:tab/>
      </w:r>
      <w:r w:rsidR="003B4D3C" w:rsidRPr="003B4D3C">
        <w:rPr>
          <w:rFonts w:eastAsia="Times New Roman" w:cs="Times New Roman"/>
          <w:noProof/>
          <w:color w:val="000000"/>
          <w:sz w:val="22"/>
        </w:rPr>
        <w:t>[Navy has removed topic N202-</w:t>
      </w:r>
      <w:r w:rsidR="00467A7F">
        <w:rPr>
          <w:rFonts w:eastAsia="Times New Roman" w:cs="Times New Roman"/>
          <w:noProof/>
          <w:color w:val="000000"/>
          <w:sz w:val="22"/>
        </w:rPr>
        <w:t>116</w:t>
      </w:r>
      <w:r w:rsidR="003B4D3C" w:rsidRPr="003B4D3C">
        <w:rPr>
          <w:rFonts w:eastAsia="Times New Roman" w:cs="Times New Roman"/>
          <w:noProof/>
          <w:color w:val="000000"/>
          <w:sz w:val="22"/>
        </w:rPr>
        <w:t xml:space="preserve"> from the 20.2 SBIR BAA]</w:t>
      </w:r>
    </w:p>
    <w:p w14:paraId="49A38040" w14:textId="1FE19FB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N202-117</w:t>
      </w:r>
      <w:r w:rsidRPr="005618B4">
        <w:rPr>
          <w:rFonts w:eastAsia="Times New Roman" w:cs="Times New Roman"/>
          <w:color w:val="000000"/>
          <w:sz w:val="22"/>
        </w:rPr>
        <w:tab/>
      </w:r>
      <w:r w:rsidRPr="005618B4">
        <w:rPr>
          <w:rFonts w:eastAsia="Times New Roman" w:cs="Times New Roman"/>
          <w:noProof/>
          <w:color w:val="000000"/>
          <w:sz w:val="22"/>
        </w:rPr>
        <w:t>Optimized Subtractive Manufacturing - Right Parts, Right Time, Every Time</w:t>
      </w:r>
    </w:p>
    <w:p w14:paraId="36776299" w14:textId="0083E26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N202-118</w:t>
      </w:r>
      <w:r w:rsidRPr="005618B4">
        <w:rPr>
          <w:rFonts w:eastAsia="Times New Roman" w:cs="Times New Roman"/>
          <w:color w:val="000000"/>
          <w:sz w:val="22"/>
        </w:rPr>
        <w:tab/>
      </w:r>
      <w:r w:rsidRPr="005618B4">
        <w:rPr>
          <w:rFonts w:eastAsia="Times New Roman" w:cs="Times New Roman"/>
          <w:noProof/>
          <w:color w:val="000000"/>
          <w:sz w:val="22"/>
        </w:rPr>
        <w:t>Passive System for Detection and Identification of UAVs Using Multispectral/Hyperspectral Imaging Technologies</w:t>
      </w:r>
    </w:p>
    <w:p w14:paraId="7650CA02" w14:textId="1AAB739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N202-119</w:t>
      </w:r>
      <w:r w:rsidRPr="005618B4">
        <w:rPr>
          <w:rFonts w:eastAsia="Times New Roman" w:cs="Times New Roman"/>
          <w:color w:val="000000"/>
          <w:sz w:val="22"/>
        </w:rPr>
        <w:tab/>
      </w:r>
      <w:r w:rsidRPr="005618B4">
        <w:rPr>
          <w:rFonts w:eastAsia="Times New Roman" w:cs="Times New Roman"/>
          <w:noProof/>
          <w:color w:val="000000"/>
          <w:sz w:val="22"/>
        </w:rPr>
        <w:t>Cross Deck Pendant Health Monitoring</w:t>
      </w:r>
    </w:p>
    <w:p w14:paraId="2AA93A64" w14:textId="74AC6B0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N202-120</w:t>
      </w:r>
      <w:r w:rsidRPr="005618B4">
        <w:rPr>
          <w:rFonts w:eastAsia="Times New Roman" w:cs="Times New Roman"/>
          <w:color w:val="000000"/>
          <w:sz w:val="22"/>
        </w:rPr>
        <w:tab/>
      </w:r>
      <w:r w:rsidRPr="005618B4">
        <w:rPr>
          <w:rFonts w:eastAsia="Times New Roman" w:cs="Times New Roman"/>
          <w:noProof/>
          <w:color w:val="000000"/>
          <w:sz w:val="22"/>
        </w:rPr>
        <w:t>Improved and More Robust Automatic Target Classifiers</w:t>
      </w:r>
    </w:p>
    <w:p w14:paraId="2D085B8A" w14:textId="2BA5B76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N202-121</w:t>
      </w:r>
      <w:r w:rsidRPr="005618B4">
        <w:rPr>
          <w:rFonts w:eastAsia="Times New Roman" w:cs="Times New Roman"/>
          <w:color w:val="000000"/>
          <w:sz w:val="22"/>
        </w:rPr>
        <w:tab/>
      </w:r>
      <w:r w:rsidRPr="005618B4">
        <w:rPr>
          <w:rFonts w:eastAsia="Times New Roman" w:cs="Times New Roman"/>
          <w:noProof/>
          <w:color w:val="000000"/>
          <w:sz w:val="22"/>
        </w:rPr>
        <w:t>Identifying and Characterizing Cognitive Sensor Systems in Tactical Environments</w:t>
      </w:r>
    </w:p>
    <w:p w14:paraId="6CBEF99D" w14:textId="7FA1871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N202-122</w:t>
      </w:r>
      <w:r w:rsidRPr="005618B4">
        <w:rPr>
          <w:rFonts w:eastAsia="Times New Roman" w:cs="Times New Roman"/>
          <w:color w:val="000000"/>
          <w:sz w:val="22"/>
        </w:rPr>
        <w:tab/>
      </w:r>
      <w:r w:rsidRPr="005618B4">
        <w:rPr>
          <w:rFonts w:eastAsia="Times New Roman" w:cs="Times New Roman"/>
          <w:noProof/>
          <w:color w:val="000000"/>
          <w:sz w:val="22"/>
        </w:rPr>
        <w:t>Innovative Multi-Physics-based Tool to Minimize Residual Stress / Distortion in Large Aerospace Aluminum Forging Parts</w:t>
      </w:r>
    </w:p>
    <w:p w14:paraId="2BFD44D9" w14:textId="77F5E348"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N202-123</w:t>
      </w:r>
      <w:r w:rsidRPr="005618B4">
        <w:rPr>
          <w:rFonts w:eastAsia="Times New Roman" w:cs="Times New Roman"/>
          <w:color w:val="000000"/>
          <w:sz w:val="22"/>
        </w:rPr>
        <w:tab/>
      </w:r>
      <w:r w:rsidRPr="005618B4">
        <w:rPr>
          <w:rFonts w:eastAsia="Times New Roman" w:cs="Times New Roman"/>
          <w:noProof/>
          <w:color w:val="000000"/>
          <w:sz w:val="22"/>
        </w:rPr>
        <w:t>Generation of Hydrogen from Seawater, Powered by Solar PV, Leading to Cogeneration of Electricity and Potable Water</w:t>
      </w:r>
    </w:p>
    <w:p w14:paraId="1DB3B014" w14:textId="0C38DEAB"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N202-124</w:t>
      </w:r>
      <w:r w:rsidRPr="005618B4">
        <w:rPr>
          <w:rFonts w:eastAsia="Times New Roman" w:cs="Times New Roman"/>
          <w:color w:val="000000"/>
          <w:sz w:val="22"/>
        </w:rPr>
        <w:tab/>
      </w:r>
      <w:r w:rsidRPr="005618B4">
        <w:rPr>
          <w:rFonts w:eastAsia="Times New Roman" w:cs="Times New Roman"/>
          <w:noProof/>
          <w:color w:val="000000"/>
          <w:sz w:val="22"/>
        </w:rPr>
        <w:t>Thermal and Magnetic Packaging for Large Superconducting Systems</w:t>
      </w:r>
    </w:p>
    <w:p w14:paraId="46167E9F" w14:textId="5605D00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N202-125</w:t>
      </w:r>
      <w:r w:rsidRPr="005618B4">
        <w:rPr>
          <w:rFonts w:eastAsia="Times New Roman" w:cs="Times New Roman"/>
          <w:color w:val="000000"/>
          <w:sz w:val="22"/>
        </w:rPr>
        <w:tab/>
      </w:r>
      <w:r w:rsidRPr="005618B4">
        <w:rPr>
          <w:rFonts w:eastAsia="Times New Roman" w:cs="Times New Roman"/>
          <w:noProof/>
          <w:color w:val="000000"/>
          <w:sz w:val="22"/>
        </w:rPr>
        <w:t>Broadband Photoconductive Terahertz Focal Plane Arrays</w:t>
      </w:r>
    </w:p>
    <w:p w14:paraId="252872D8" w14:textId="7659F5E2"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N202-126</w:t>
      </w:r>
      <w:r w:rsidRPr="005618B4">
        <w:rPr>
          <w:rFonts w:eastAsia="Times New Roman" w:cs="Times New Roman"/>
          <w:color w:val="000000"/>
          <w:sz w:val="22"/>
        </w:rPr>
        <w:tab/>
      </w:r>
      <w:r w:rsidRPr="005618B4">
        <w:rPr>
          <w:rFonts w:eastAsia="Times New Roman" w:cs="Times New Roman"/>
          <w:noProof/>
          <w:color w:val="000000"/>
          <w:sz w:val="22"/>
        </w:rPr>
        <w:t>Scenario Development and Enhancement for Military Exercises</w:t>
      </w:r>
    </w:p>
    <w:p w14:paraId="04E50531" w14:textId="247A56B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N202-127</w:t>
      </w:r>
      <w:r w:rsidRPr="005618B4">
        <w:rPr>
          <w:rFonts w:eastAsia="Times New Roman" w:cs="Times New Roman"/>
          <w:color w:val="000000"/>
          <w:sz w:val="22"/>
        </w:rPr>
        <w:tab/>
      </w:r>
      <w:r w:rsidRPr="005618B4">
        <w:rPr>
          <w:rFonts w:eastAsia="Times New Roman" w:cs="Times New Roman"/>
          <w:noProof/>
          <w:color w:val="000000"/>
          <w:sz w:val="22"/>
        </w:rPr>
        <w:t>Electrical Energy Sensing Device for EOD Detection, Location and Diagnosis of Electronic Safe &amp; Armed Fuzes</w:t>
      </w:r>
    </w:p>
    <w:p w14:paraId="704F68BA" w14:textId="2AC9D246"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N202-128</w:t>
      </w:r>
      <w:r w:rsidRPr="005618B4">
        <w:rPr>
          <w:rFonts w:eastAsia="Times New Roman" w:cs="Times New Roman"/>
          <w:color w:val="000000"/>
          <w:sz w:val="22"/>
        </w:rPr>
        <w:tab/>
      </w:r>
      <w:r w:rsidRPr="005618B4">
        <w:rPr>
          <w:rFonts w:eastAsia="Times New Roman" w:cs="Times New Roman"/>
          <w:noProof/>
          <w:color w:val="000000"/>
          <w:sz w:val="22"/>
        </w:rPr>
        <w:t>Innovative Approaches in Design and Fabrication of 3D Braided Ceramic Matrix Composites (CMC) Fasteners</w:t>
      </w:r>
    </w:p>
    <w:p w14:paraId="3816F733" w14:textId="50CA3C7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N202-129</w:t>
      </w:r>
      <w:r w:rsidRPr="005618B4">
        <w:rPr>
          <w:rFonts w:eastAsia="Times New Roman" w:cs="Times New Roman"/>
          <w:color w:val="000000"/>
          <w:sz w:val="22"/>
        </w:rPr>
        <w:tab/>
      </w:r>
      <w:r w:rsidRPr="005618B4">
        <w:rPr>
          <w:rFonts w:eastAsia="Times New Roman" w:cs="Times New Roman"/>
          <w:noProof/>
          <w:color w:val="000000"/>
          <w:sz w:val="22"/>
        </w:rPr>
        <w:t>Nosetip Ablation Sensor and Telemetry Interface Unit for Hypersonic Vehicle Thermal Protection Systems</w:t>
      </w:r>
    </w:p>
    <w:p w14:paraId="291B2FB1" w14:textId="116BCB32"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N202-130</w:t>
      </w:r>
      <w:r w:rsidRPr="005618B4">
        <w:rPr>
          <w:rFonts w:eastAsia="Times New Roman" w:cs="Times New Roman"/>
          <w:color w:val="000000"/>
          <w:sz w:val="22"/>
        </w:rPr>
        <w:tab/>
      </w:r>
      <w:r w:rsidRPr="005618B4">
        <w:rPr>
          <w:rFonts w:eastAsia="Times New Roman" w:cs="Times New Roman"/>
          <w:noProof/>
          <w:color w:val="000000"/>
          <w:sz w:val="22"/>
        </w:rPr>
        <w:t>Cold-water Diving Wetsuit</w:t>
      </w:r>
    </w:p>
    <w:p w14:paraId="1E381732" w14:textId="47C339C7"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N202-131</w:t>
      </w:r>
      <w:r w:rsidRPr="005618B4">
        <w:rPr>
          <w:rFonts w:eastAsia="Times New Roman" w:cs="Times New Roman"/>
          <w:color w:val="000000"/>
          <w:sz w:val="22"/>
        </w:rPr>
        <w:tab/>
      </w:r>
      <w:r w:rsidRPr="005618B4">
        <w:rPr>
          <w:rFonts w:eastAsia="Times New Roman" w:cs="Times New Roman"/>
          <w:noProof/>
          <w:color w:val="000000"/>
          <w:sz w:val="22"/>
        </w:rPr>
        <w:t>Intelligent Laser System for CBM+ of Naval Platforms</w:t>
      </w:r>
    </w:p>
    <w:p w14:paraId="56DA221F" w14:textId="602C4B74"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N202-132</w:t>
      </w:r>
      <w:r w:rsidRPr="005618B4">
        <w:rPr>
          <w:rFonts w:eastAsia="Times New Roman" w:cs="Times New Roman"/>
          <w:color w:val="000000"/>
          <w:sz w:val="22"/>
        </w:rPr>
        <w:tab/>
      </w:r>
      <w:r w:rsidRPr="005618B4">
        <w:rPr>
          <w:rFonts w:eastAsia="Times New Roman" w:cs="Times New Roman"/>
          <w:noProof/>
          <w:color w:val="000000"/>
          <w:sz w:val="22"/>
        </w:rPr>
        <w:t>Novel Methods to Mitigate Heat Exchanger Fouling</w:t>
      </w:r>
    </w:p>
    <w:p w14:paraId="6FA30103" w14:textId="0E9D2E7D"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N202-133</w:t>
      </w:r>
      <w:r w:rsidRPr="005618B4">
        <w:rPr>
          <w:rFonts w:eastAsia="Times New Roman" w:cs="Times New Roman"/>
          <w:color w:val="000000"/>
          <w:sz w:val="22"/>
        </w:rPr>
        <w:tab/>
      </w:r>
      <w:r w:rsidRPr="005618B4">
        <w:rPr>
          <w:rFonts w:eastAsia="Times New Roman" w:cs="Times New Roman"/>
          <w:noProof/>
          <w:color w:val="000000"/>
          <w:sz w:val="22"/>
        </w:rPr>
        <w:t>Multimodal Interaction Technologies to Support Small Unit Leaders</w:t>
      </w:r>
    </w:p>
    <w:p w14:paraId="3E3D7B99" w14:textId="3C1148FE"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N202-134</w:t>
      </w:r>
      <w:r w:rsidRPr="005618B4">
        <w:rPr>
          <w:rFonts w:eastAsia="Times New Roman" w:cs="Times New Roman"/>
          <w:color w:val="000000"/>
          <w:sz w:val="22"/>
        </w:rPr>
        <w:tab/>
      </w:r>
      <w:r w:rsidRPr="005618B4">
        <w:rPr>
          <w:rFonts w:eastAsia="Times New Roman" w:cs="Times New Roman"/>
          <w:noProof/>
          <w:color w:val="000000"/>
          <w:sz w:val="22"/>
        </w:rPr>
        <w:t>Radio Frequency Buoyant Cable Antenna Transfer Mechanism</w:t>
      </w:r>
    </w:p>
    <w:p w14:paraId="635B0801" w14:textId="212300B2"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N202-135</w:t>
      </w:r>
      <w:r w:rsidRPr="005618B4">
        <w:rPr>
          <w:rFonts w:eastAsia="Times New Roman" w:cs="Times New Roman"/>
          <w:color w:val="000000"/>
          <w:sz w:val="22"/>
        </w:rPr>
        <w:tab/>
      </w:r>
      <w:r w:rsidRPr="005618B4">
        <w:rPr>
          <w:rFonts w:eastAsia="Times New Roman" w:cs="Times New Roman"/>
          <w:noProof/>
          <w:color w:val="000000"/>
          <w:sz w:val="22"/>
        </w:rPr>
        <w:t>Model Based Systems Engineering for Tactical Data Link Systems</w:t>
      </w:r>
    </w:p>
    <w:p w14:paraId="4F31C013" w14:textId="77777777" w:rsidR="001D2BDF" w:rsidRDefault="007F2064" w:rsidP="007F2064">
      <w:pPr>
        <w:spacing w:line="360" w:lineRule="auto"/>
        <w:ind w:left="1620" w:hanging="1620"/>
        <w:rPr>
          <w:rFonts w:eastAsia="Times New Roman" w:cs="Times New Roman"/>
          <w:noProof/>
          <w:color w:val="000000"/>
          <w:sz w:val="22"/>
        </w:rPr>
      </w:pPr>
      <w:r w:rsidRPr="00F16494">
        <w:rPr>
          <w:rFonts w:eastAsia="Times New Roman" w:cs="Times New Roman"/>
          <w:strike/>
          <w:noProof/>
          <w:color w:val="000000"/>
          <w:sz w:val="22"/>
        </w:rPr>
        <w:t>N202-136</w:t>
      </w:r>
      <w:r w:rsidRPr="005618B4">
        <w:rPr>
          <w:rFonts w:eastAsia="Times New Roman" w:cs="Times New Roman"/>
          <w:color w:val="000000"/>
          <w:sz w:val="22"/>
        </w:rPr>
        <w:tab/>
      </w:r>
      <w:r w:rsidR="001D2BDF" w:rsidRPr="001D2BDF">
        <w:rPr>
          <w:rFonts w:eastAsia="Times New Roman" w:cs="Times New Roman"/>
          <w:noProof/>
          <w:color w:val="000000"/>
          <w:sz w:val="22"/>
        </w:rPr>
        <w:t>[Navy has removed topic N20</w:t>
      </w:r>
      <w:r w:rsidR="001D2BDF">
        <w:rPr>
          <w:rFonts w:eastAsia="Times New Roman" w:cs="Times New Roman"/>
          <w:noProof/>
          <w:color w:val="000000"/>
          <w:sz w:val="22"/>
        </w:rPr>
        <w:t>2</w:t>
      </w:r>
      <w:r w:rsidR="001D2BDF" w:rsidRPr="001D2BDF">
        <w:rPr>
          <w:rFonts w:eastAsia="Times New Roman" w:cs="Times New Roman"/>
          <w:noProof/>
          <w:color w:val="000000"/>
          <w:sz w:val="22"/>
        </w:rPr>
        <w:t>-</w:t>
      </w:r>
      <w:r w:rsidR="001D2BDF">
        <w:rPr>
          <w:rFonts w:eastAsia="Times New Roman" w:cs="Times New Roman"/>
          <w:noProof/>
          <w:color w:val="000000"/>
          <w:sz w:val="22"/>
        </w:rPr>
        <w:t>136</w:t>
      </w:r>
      <w:r w:rsidR="001D2BDF" w:rsidRPr="001D2BDF">
        <w:rPr>
          <w:rFonts w:eastAsia="Times New Roman" w:cs="Times New Roman"/>
          <w:noProof/>
          <w:color w:val="000000"/>
          <w:sz w:val="22"/>
        </w:rPr>
        <w:t xml:space="preserve"> from the 20.</w:t>
      </w:r>
      <w:r w:rsidR="001D2BDF">
        <w:rPr>
          <w:rFonts w:eastAsia="Times New Roman" w:cs="Times New Roman"/>
          <w:noProof/>
          <w:color w:val="000000"/>
          <w:sz w:val="22"/>
        </w:rPr>
        <w:t>2</w:t>
      </w:r>
      <w:r w:rsidR="001D2BDF" w:rsidRPr="001D2BDF">
        <w:rPr>
          <w:rFonts w:eastAsia="Times New Roman" w:cs="Times New Roman"/>
          <w:noProof/>
          <w:color w:val="000000"/>
          <w:sz w:val="22"/>
        </w:rPr>
        <w:t xml:space="preserve"> SBIR BAA]</w:t>
      </w:r>
    </w:p>
    <w:p w14:paraId="52273914" w14:textId="66511223" w:rsidR="007F2064" w:rsidRPr="005618B4" w:rsidRDefault="007F2064" w:rsidP="007F2064">
      <w:pPr>
        <w:spacing w:line="360" w:lineRule="auto"/>
        <w:ind w:left="1620" w:hanging="1620"/>
        <w:rPr>
          <w:rFonts w:eastAsia="Times New Roman" w:cs="Times New Roman"/>
          <w:noProof/>
          <w:color w:val="000000"/>
          <w:sz w:val="22"/>
        </w:rPr>
      </w:pPr>
      <w:r w:rsidRPr="005618B4">
        <w:rPr>
          <w:rFonts w:eastAsia="Times New Roman" w:cs="Times New Roman"/>
          <w:noProof/>
          <w:color w:val="000000"/>
          <w:sz w:val="22"/>
        </w:rPr>
        <w:t>N202-137</w:t>
      </w:r>
      <w:r w:rsidRPr="005618B4">
        <w:rPr>
          <w:rFonts w:eastAsia="Times New Roman" w:cs="Times New Roman"/>
          <w:color w:val="000000"/>
          <w:sz w:val="22"/>
        </w:rPr>
        <w:tab/>
      </w:r>
      <w:r w:rsidRPr="005618B4">
        <w:rPr>
          <w:rFonts w:eastAsia="Times New Roman" w:cs="Times New Roman"/>
          <w:noProof/>
          <w:color w:val="000000"/>
          <w:sz w:val="22"/>
        </w:rPr>
        <w:t>Sensor Embedding Procedures in Candidate Hypersonic Material Specimens</w:t>
      </w:r>
    </w:p>
    <w:p w14:paraId="0205268C" w14:textId="0CDC99E7" w:rsidR="007F2064" w:rsidRPr="005618B4" w:rsidRDefault="007F2064" w:rsidP="007F2064">
      <w:pPr>
        <w:spacing w:line="360" w:lineRule="auto"/>
        <w:ind w:left="1620" w:hanging="1620"/>
        <w:rPr>
          <w:rFonts w:eastAsia="Times New Roman" w:cs="Times New Roman"/>
          <w:color w:val="000000"/>
          <w:sz w:val="22"/>
        </w:rPr>
      </w:pPr>
      <w:r w:rsidRPr="00547721">
        <w:rPr>
          <w:rFonts w:eastAsia="Times New Roman" w:cs="Times New Roman"/>
          <w:strike/>
          <w:noProof/>
          <w:color w:val="000000"/>
          <w:sz w:val="22"/>
        </w:rPr>
        <w:lastRenderedPageBreak/>
        <w:t>N202-138</w:t>
      </w:r>
      <w:r w:rsidRPr="005618B4">
        <w:rPr>
          <w:rFonts w:eastAsia="Times New Roman" w:cs="Times New Roman"/>
          <w:color w:val="000000"/>
          <w:sz w:val="22"/>
        </w:rPr>
        <w:tab/>
      </w:r>
      <w:r w:rsidR="001D2BDF" w:rsidRPr="001D2BDF">
        <w:rPr>
          <w:rFonts w:eastAsia="Times New Roman" w:cs="Times New Roman"/>
          <w:noProof/>
          <w:color w:val="000000"/>
          <w:sz w:val="22"/>
        </w:rPr>
        <w:t>[Navy has removed topic N20</w:t>
      </w:r>
      <w:r w:rsidR="001D2BDF">
        <w:rPr>
          <w:rFonts w:eastAsia="Times New Roman" w:cs="Times New Roman"/>
          <w:noProof/>
          <w:color w:val="000000"/>
          <w:sz w:val="22"/>
        </w:rPr>
        <w:t>2</w:t>
      </w:r>
      <w:r w:rsidR="001D2BDF" w:rsidRPr="001D2BDF">
        <w:rPr>
          <w:rFonts w:eastAsia="Times New Roman" w:cs="Times New Roman"/>
          <w:noProof/>
          <w:color w:val="000000"/>
          <w:sz w:val="22"/>
        </w:rPr>
        <w:t>-</w:t>
      </w:r>
      <w:r w:rsidR="001D2BDF">
        <w:rPr>
          <w:rFonts w:eastAsia="Times New Roman" w:cs="Times New Roman"/>
          <w:noProof/>
          <w:color w:val="000000"/>
          <w:sz w:val="22"/>
        </w:rPr>
        <w:t>138</w:t>
      </w:r>
      <w:r w:rsidR="001D2BDF" w:rsidRPr="001D2BDF">
        <w:rPr>
          <w:rFonts w:eastAsia="Times New Roman" w:cs="Times New Roman"/>
          <w:noProof/>
          <w:color w:val="000000"/>
          <w:sz w:val="22"/>
        </w:rPr>
        <w:t xml:space="preserve"> from the 20.</w:t>
      </w:r>
      <w:r w:rsidR="001D2BDF">
        <w:rPr>
          <w:rFonts w:eastAsia="Times New Roman" w:cs="Times New Roman"/>
          <w:noProof/>
          <w:color w:val="000000"/>
          <w:sz w:val="22"/>
        </w:rPr>
        <w:t>2</w:t>
      </w:r>
      <w:r w:rsidR="001D2BDF" w:rsidRPr="001D2BDF">
        <w:rPr>
          <w:rFonts w:eastAsia="Times New Roman" w:cs="Times New Roman"/>
          <w:noProof/>
          <w:color w:val="000000"/>
          <w:sz w:val="22"/>
        </w:rPr>
        <w:t xml:space="preserve"> SBIR BAA]</w:t>
      </w:r>
    </w:p>
    <w:p w14:paraId="3CB337A0" w14:textId="2EE9D651"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N202-139</w:t>
      </w:r>
      <w:r w:rsidRPr="005618B4">
        <w:rPr>
          <w:rFonts w:eastAsia="Times New Roman" w:cs="Times New Roman"/>
          <w:color w:val="000000"/>
          <w:sz w:val="22"/>
        </w:rPr>
        <w:tab/>
      </w:r>
      <w:r w:rsidRPr="005618B4">
        <w:rPr>
          <w:rFonts w:eastAsia="Times New Roman" w:cs="Times New Roman"/>
          <w:noProof/>
          <w:color w:val="000000"/>
          <w:sz w:val="22"/>
        </w:rPr>
        <w:t>Probability of Kill Modeling for Hypersonic Vehicle Missions</w:t>
      </w:r>
    </w:p>
    <w:p w14:paraId="0AE500DD" w14:textId="7ACD8A7A" w:rsidR="007F2064" w:rsidRPr="005618B4" w:rsidRDefault="007F2064" w:rsidP="007F2064">
      <w:pPr>
        <w:spacing w:line="360" w:lineRule="auto"/>
        <w:ind w:left="1620" w:hanging="1620"/>
        <w:rPr>
          <w:rFonts w:eastAsia="Times New Roman" w:cs="Times New Roman"/>
          <w:color w:val="000000"/>
          <w:sz w:val="22"/>
        </w:rPr>
      </w:pPr>
      <w:r w:rsidRPr="00547721">
        <w:rPr>
          <w:rFonts w:eastAsia="Times New Roman" w:cs="Times New Roman"/>
          <w:strike/>
          <w:noProof/>
          <w:color w:val="000000"/>
          <w:sz w:val="22"/>
        </w:rPr>
        <w:t>N202-140</w:t>
      </w:r>
      <w:r w:rsidRPr="005618B4">
        <w:rPr>
          <w:rFonts w:eastAsia="Times New Roman" w:cs="Times New Roman"/>
          <w:color w:val="000000"/>
          <w:sz w:val="22"/>
        </w:rPr>
        <w:tab/>
      </w:r>
      <w:r w:rsidR="001D2BDF" w:rsidRPr="001D2BDF">
        <w:rPr>
          <w:rFonts w:eastAsia="Times New Roman" w:cs="Times New Roman"/>
          <w:noProof/>
          <w:color w:val="000000"/>
          <w:sz w:val="22"/>
        </w:rPr>
        <w:t>[Navy has removed topic N20</w:t>
      </w:r>
      <w:r w:rsidR="001D2BDF">
        <w:rPr>
          <w:rFonts w:eastAsia="Times New Roman" w:cs="Times New Roman"/>
          <w:noProof/>
          <w:color w:val="000000"/>
          <w:sz w:val="22"/>
        </w:rPr>
        <w:t>2</w:t>
      </w:r>
      <w:r w:rsidR="001D2BDF" w:rsidRPr="001D2BDF">
        <w:rPr>
          <w:rFonts w:eastAsia="Times New Roman" w:cs="Times New Roman"/>
          <w:noProof/>
          <w:color w:val="000000"/>
          <w:sz w:val="22"/>
        </w:rPr>
        <w:t>-</w:t>
      </w:r>
      <w:r w:rsidR="001D2BDF">
        <w:rPr>
          <w:rFonts w:eastAsia="Times New Roman" w:cs="Times New Roman"/>
          <w:noProof/>
          <w:color w:val="000000"/>
          <w:sz w:val="22"/>
        </w:rPr>
        <w:t>1</w:t>
      </w:r>
      <w:r w:rsidR="001D2BDF" w:rsidRPr="001D2BDF">
        <w:rPr>
          <w:rFonts w:eastAsia="Times New Roman" w:cs="Times New Roman"/>
          <w:noProof/>
          <w:color w:val="000000"/>
          <w:sz w:val="22"/>
        </w:rPr>
        <w:t>40 from the 20.</w:t>
      </w:r>
      <w:r w:rsidR="00827CB7">
        <w:rPr>
          <w:rFonts w:eastAsia="Times New Roman" w:cs="Times New Roman"/>
          <w:noProof/>
          <w:color w:val="000000"/>
          <w:sz w:val="22"/>
        </w:rPr>
        <w:t>2</w:t>
      </w:r>
      <w:r w:rsidR="001D2BDF" w:rsidRPr="001D2BDF">
        <w:rPr>
          <w:rFonts w:eastAsia="Times New Roman" w:cs="Times New Roman"/>
          <w:noProof/>
          <w:color w:val="000000"/>
          <w:sz w:val="22"/>
        </w:rPr>
        <w:t xml:space="preserve"> SBIR BAA]</w:t>
      </w:r>
    </w:p>
    <w:p w14:paraId="61FFDF69" w14:textId="10C2E733"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N202-141</w:t>
      </w:r>
      <w:r w:rsidRPr="005618B4">
        <w:rPr>
          <w:rFonts w:eastAsia="Times New Roman" w:cs="Times New Roman"/>
          <w:color w:val="000000"/>
          <w:sz w:val="22"/>
        </w:rPr>
        <w:tab/>
      </w:r>
      <w:r w:rsidRPr="005618B4">
        <w:rPr>
          <w:rFonts w:eastAsia="Times New Roman" w:cs="Times New Roman"/>
          <w:noProof/>
          <w:color w:val="000000"/>
          <w:sz w:val="22"/>
        </w:rPr>
        <w:t>Investigate the use of Discrete Patterned Roughness for Turbulent Transition Control in a Hypersonic Boundary Layer</w:t>
      </w:r>
    </w:p>
    <w:p w14:paraId="7930F78B" w14:textId="64C2884C" w:rsidR="007F2064" w:rsidRPr="005618B4" w:rsidRDefault="007F2064" w:rsidP="007F2064">
      <w:pPr>
        <w:spacing w:line="360" w:lineRule="auto"/>
        <w:ind w:left="1620" w:hanging="1620"/>
        <w:rPr>
          <w:rFonts w:eastAsia="Times New Roman" w:cs="Times New Roman"/>
          <w:color w:val="000000"/>
          <w:sz w:val="22"/>
        </w:rPr>
      </w:pPr>
      <w:r w:rsidRPr="00827CB7">
        <w:rPr>
          <w:rFonts w:eastAsia="Times New Roman" w:cs="Times New Roman"/>
          <w:strike/>
          <w:noProof/>
          <w:color w:val="000000"/>
          <w:sz w:val="22"/>
        </w:rPr>
        <w:t>N202-142</w:t>
      </w:r>
      <w:r w:rsidRPr="005618B4">
        <w:rPr>
          <w:rFonts w:eastAsia="Times New Roman" w:cs="Times New Roman"/>
          <w:color w:val="000000"/>
          <w:sz w:val="22"/>
        </w:rPr>
        <w:tab/>
      </w:r>
      <w:r w:rsidR="00827CB7" w:rsidRPr="00827CB7">
        <w:rPr>
          <w:rFonts w:eastAsia="Times New Roman" w:cs="Times New Roman"/>
          <w:noProof/>
          <w:color w:val="000000"/>
          <w:sz w:val="22"/>
        </w:rPr>
        <w:t>[Navy has removed topic N20</w:t>
      </w:r>
      <w:r w:rsidR="00827CB7">
        <w:rPr>
          <w:rFonts w:eastAsia="Times New Roman" w:cs="Times New Roman"/>
          <w:noProof/>
          <w:color w:val="000000"/>
          <w:sz w:val="22"/>
        </w:rPr>
        <w:t>2</w:t>
      </w:r>
      <w:r w:rsidR="00827CB7" w:rsidRPr="00827CB7">
        <w:rPr>
          <w:rFonts w:eastAsia="Times New Roman" w:cs="Times New Roman"/>
          <w:noProof/>
          <w:color w:val="000000"/>
          <w:sz w:val="22"/>
        </w:rPr>
        <w:t>-</w:t>
      </w:r>
      <w:r w:rsidR="00827CB7">
        <w:rPr>
          <w:rFonts w:eastAsia="Times New Roman" w:cs="Times New Roman"/>
          <w:noProof/>
          <w:color w:val="000000"/>
          <w:sz w:val="22"/>
        </w:rPr>
        <w:t>142</w:t>
      </w:r>
      <w:r w:rsidR="00827CB7" w:rsidRPr="00827CB7">
        <w:rPr>
          <w:rFonts w:eastAsia="Times New Roman" w:cs="Times New Roman"/>
          <w:noProof/>
          <w:color w:val="000000"/>
          <w:sz w:val="22"/>
        </w:rPr>
        <w:t xml:space="preserve"> from the 20.</w:t>
      </w:r>
      <w:r w:rsidR="00827CB7">
        <w:rPr>
          <w:rFonts w:eastAsia="Times New Roman" w:cs="Times New Roman"/>
          <w:noProof/>
          <w:color w:val="000000"/>
          <w:sz w:val="22"/>
        </w:rPr>
        <w:t>2</w:t>
      </w:r>
      <w:r w:rsidR="00827CB7" w:rsidRPr="00827CB7">
        <w:rPr>
          <w:rFonts w:eastAsia="Times New Roman" w:cs="Times New Roman"/>
          <w:noProof/>
          <w:color w:val="000000"/>
          <w:sz w:val="22"/>
        </w:rPr>
        <w:t xml:space="preserve"> SBIR BAA]</w:t>
      </w:r>
    </w:p>
    <w:p w14:paraId="4544C3AF" w14:textId="759BDDEC"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N202-143</w:t>
      </w:r>
      <w:r w:rsidRPr="005618B4">
        <w:rPr>
          <w:rFonts w:eastAsia="Times New Roman" w:cs="Times New Roman"/>
          <w:color w:val="000000"/>
          <w:sz w:val="22"/>
        </w:rPr>
        <w:tab/>
      </w:r>
      <w:r w:rsidRPr="005618B4">
        <w:rPr>
          <w:rFonts w:eastAsia="Times New Roman" w:cs="Times New Roman"/>
          <w:noProof/>
          <w:color w:val="000000"/>
          <w:sz w:val="22"/>
        </w:rPr>
        <w:t>Plasma Switches and Antennas for Contested Electromagnetic Environments</w:t>
      </w:r>
    </w:p>
    <w:p w14:paraId="0039DFF8" w14:textId="78800A2C"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N202-144</w:t>
      </w:r>
      <w:r w:rsidRPr="005618B4">
        <w:rPr>
          <w:rFonts w:eastAsia="Times New Roman" w:cs="Times New Roman"/>
          <w:color w:val="000000"/>
          <w:sz w:val="22"/>
        </w:rPr>
        <w:tab/>
      </w:r>
      <w:r w:rsidRPr="005618B4">
        <w:rPr>
          <w:rFonts w:eastAsia="Times New Roman" w:cs="Times New Roman"/>
          <w:noProof/>
          <w:color w:val="000000"/>
          <w:sz w:val="22"/>
        </w:rPr>
        <w:t>Predictive Physics-Based Model for Projectile Trajectory Instability</w:t>
      </w:r>
    </w:p>
    <w:p w14:paraId="3C6CFEF3" w14:textId="7BC525A5" w:rsidR="007F2064" w:rsidRPr="005618B4" w:rsidRDefault="007F2064" w:rsidP="007F2064">
      <w:pPr>
        <w:spacing w:line="360" w:lineRule="auto"/>
        <w:ind w:left="1620" w:hanging="1620"/>
        <w:rPr>
          <w:rFonts w:eastAsia="Times New Roman" w:cs="Times New Roman"/>
          <w:color w:val="000000"/>
          <w:sz w:val="22"/>
        </w:rPr>
      </w:pPr>
      <w:r w:rsidRPr="005618B4">
        <w:rPr>
          <w:rFonts w:eastAsia="Times New Roman" w:cs="Times New Roman"/>
          <w:noProof/>
          <w:color w:val="000000"/>
          <w:sz w:val="22"/>
        </w:rPr>
        <w:t>N202-145</w:t>
      </w:r>
      <w:r w:rsidRPr="005618B4">
        <w:rPr>
          <w:rFonts w:eastAsia="Times New Roman" w:cs="Times New Roman"/>
          <w:color w:val="000000"/>
          <w:sz w:val="22"/>
        </w:rPr>
        <w:tab/>
      </w:r>
      <w:r w:rsidRPr="005618B4">
        <w:rPr>
          <w:rFonts w:eastAsia="Times New Roman" w:cs="Times New Roman"/>
          <w:noProof/>
          <w:color w:val="000000"/>
          <w:sz w:val="22"/>
        </w:rPr>
        <w:t>Hypersonic Wake Detection with High Enthalpy Capabilities</w:t>
      </w:r>
    </w:p>
    <w:p w14:paraId="73108849" w14:textId="58CC8F7C" w:rsidR="007F2064" w:rsidRPr="005618B4" w:rsidRDefault="007F2064" w:rsidP="007F2064">
      <w:pPr>
        <w:spacing w:line="360" w:lineRule="auto"/>
        <w:ind w:left="1620" w:hanging="1620"/>
        <w:rPr>
          <w:rFonts w:eastAsia="Times New Roman" w:cs="Times New Roman"/>
          <w:color w:val="000000"/>
          <w:sz w:val="22"/>
        </w:rPr>
      </w:pPr>
      <w:r w:rsidRPr="00547721">
        <w:rPr>
          <w:rFonts w:eastAsia="Times New Roman" w:cs="Times New Roman"/>
          <w:strike/>
          <w:noProof/>
          <w:color w:val="000000"/>
          <w:sz w:val="22"/>
        </w:rPr>
        <w:t>N202-146</w:t>
      </w:r>
      <w:r w:rsidRPr="005618B4">
        <w:rPr>
          <w:rFonts w:eastAsia="Times New Roman" w:cs="Times New Roman"/>
          <w:color w:val="000000"/>
          <w:sz w:val="22"/>
        </w:rPr>
        <w:tab/>
      </w:r>
      <w:r w:rsidR="00827CB7" w:rsidRPr="00827CB7">
        <w:rPr>
          <w:rFonts w:eastAsia="Times New Roman" w:cs="Times New Roman"/>
          <w:noProof/>
          <w:color w:val="000000"/>
          <w:sz w:val="22"/>
        </w:rPr>
        <w:t>[Navy has removed topic N20</w:t>
      </w:r>
      <w:r w:rsidR="00827CB7">
        <w:rPr>
          <w:rFonts w:eastAsia="Times New Roman" w:cs="Times New Roman"/>
          <w:noProof/>
          <w:color w:val="000000"/>
          <w:sz w:val="22"/>
        </w:rPr>
        <w:t>2</w:t>
      </w:r>
      <w:r w:rsidR="00827CB7" w:rsidRPr="00827CB7">
        <w:rPr>
          <w:rFonts w:eastAsia="Times New Roman" w:cs="Times New Roman"/>
          <w:noProof/>
          <w:color w:val="000000"/>
          <w:sz w:val="22"/>
        </w:rPr>
        <w:t>-</w:t>
      </w:r>
      <w:r w:rsidR="00827CB7">
        <w:rPr>
          <w:rFonts w:eastAsia="Times New Roman" w:cs="Times New Roman"/>
          <w:noProof/>
          <w:color w:val="000000"/>
          <w:sz w:val="22"/>
        </w:rPr>
        <w:t>146</w:t>
      </w:r>
      <w:r w:rsidR="00827CB7" w:rsidRPr="00827CB7">
        <w:rPr>
          <w:rFonts w:eastAsia="Times New Roman" w:cs="Times New Roman"/>
          <w:noProof/>
          <w:color w:val="000000"/>
          <w:sz w:val="22"/>
        </w:rPr>
        <w:t xml:space="preserve"> from the 20.</w:t>
      </w:r>
      <w:r w:rsidR="00827CB7">
        <w:rPr>
          <w:rFonts w:eastAsia="Times New Roman" w:cs="Times New Roman"/>
          <w:noProof/>
          <w:color w:val="000000"/>
          <w:sz w:val="22"/>
        </w:rPr>
        <w:t>2</w:t>
      </w:r>
      <w:r w:rsidR="00827CB7" w:rsidRPr="00827CB7">
        <w:rPr>
          <w:rFonts w:eastAsia="Times New Roman" w:cs="Times New Roman"/>
          <w:noProof/>
          <w:color w:val="000000"/>
          <w:sz w:val="22"/>
        </w:rPr>
        <w:t xml:space="preserve"> SBIR BAA]</w:t>
      </w:r>
    </w:p>
    <w:p w14:paraId="2E853A11" w14:textId="5EEF9A14" w:rsidR="007F2064" w:rsidRPr="005618B4" w:rsidRDefault="007F2064" w:rsidP="007F2064">
      <w:pPr>
        <w:spacing w:line="360" w:lineRule="auto"/>
        <w:ind w:left="1620" w:hanging="1620"/>
        <w:rPr>
          <w:rFonts w:eastAsia="Times New Roman" w:cs="Times New Roman"/>
          <w:color w:val="000000"/>
          <w:sz w:val="22"/>
        </w:rPr>
      </w:pPr>
      <w:r w:rsidRPr="001A4A9C">
        <w:rPr>
          <w:rFonts w:eastAsia="Times New Roman" w:cs="Times New Roman"/>
          <w:strike/>
          <w:noProof/>
          <w:color w:val="000000"/>
          <w:sz w:val="22"/>
        </w:rPr>
        <w:t>N202-147</w:t>
      </w:r>
      <w:r w:rsidRPr="005618B4">
        <w:rPr>
          <w:rFonts w:eastAsia="Times New Roman" w:cs="Times New Roman"/>
          <w:color w:val="000000"/>
          <w:sz w:val="22"/>
        </w:rPr>
        <w:tab/>
      </w:r>
      <w:r w:rsidR="00827CB7" w:rsidRPr="00827CB7">
        <w:rPr>
          <w:rFonts w:eastAsia="Times New Roman" w:cs="Times New Roman"/>
          <w:noProof/>
          <w:color w:val="000000"/>
          <w:sz w:val="22"/>
        </w:rPr>
        <w:t>[Navy has removed topic N20</w:t>
      </w:r>
      <w:r w:rsidR="00827CB7">
        <w:rPr>
          <w:rFonts w:eastAsia="Times New Roman" w:cs="Times New Roman"/>
          <w:noProof/>
          <w:color w:val="000000"/>
          <w:sz w:val="22"/>
        </w:rPr>
        <w:t>2</w:t>
      </w:r>
      <w:r w:rsidR="00827CB7" w:rsidRPr="00827CB7">
        <w:rPr>
          <w:rFonts w:eastAsia="Times New Roman" w:cs="Times New Roman"/>
          <w:noProof/>
          <w:color w:val="000000"/>
          <w:sz w:val="22"/>
        </w:rPr>
        <w:t>-</w:t>
      </w:r>
      <w:r w:rsidR="00827CB7">
        <w:rPr>
          <w:rFonts w:eastAsia="Times New Roman" w:cs="Times New Roman"/>
          <w:noProof/>
          <w:color w:val="000000"/>
          <w:sz w:val="22"/>
        </w:rPr>
        <w:t>147</w:t>
      </w:r>
      <w:r w:rsidR="00827CB7" w:rsidRPr="00827CB7">
        <w:rPr>
          <w:rFonts w:eastAsia="Times New Roman" w:cs="Times New Roman"/>
          <w:noProof/>
          <w:color w:val="000000"/>
          <w:sz w:val="22"/>
        </w:rPr>
        <w:t xml:space="preserve"> from the 20.</w:t>
      </w:r>
      <w:r w:rsidR="00827CB7">
        <w:rPr>
          <w:rFonts w:eastAsia="Times New Roman" w:cs="Times New Roman"/>
          <w:noProof/>
          <w:color w:val="000000"/>
          <w:sz w:val="22"/>
        </w:rPr>
        <w:t>2</w:t>
      </w:r>
      <w:r w:rsidR="00827CB7" w:rsidRPr="00827CB7">
        <w:rPr>
          <w:rFonts w:eastAsia="Times New Roman" w:cs="Times New Roman"/>
          <w:noProof/>
          <w:color w:val="000000"/>
          <w:sz w:val="22"/>
        </w:rPr>
        <w:t xml:space="preserve"> SBIR BAA]</w:t>
      </w:r>
    </w:p>
    <w:p w14:paraId="29805B82" w14:textId="321F51DB" w:rsidR="00C9232E" w:rsidRDefault="00C9232E">
      <w:pPr>
        <w:rPr>
          <w:sz w:val="22"/>
        </w:rPr>
      </w:pPr>
      <w:r>
        <w:rPr>
          <w:sz w:val="22"/>
        </w:rPr>
        <w:br w:type="page"/>
      </w:r>
    </w:p>
    <w:p w14:paraId="25E9DE3D"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N202-088</w:t>
      </w:r>
      <w:r w:rsidRPr="00AA7A47">
        <w:rPr>
          <w:rFonts w:eastAsia="Times New Roman" w:cs="Times New Roman"/>
          <w:color w:val="000000"/>
          <w:sz w:val="22"/>
        </w:rPr>
        <w:tab/>
        <w:t xml:space="preserve">TITLE: </w:t>
      </w:r>
      <w:r w:rsidRPr="00AA7A47">
        <w:rPr>
          <w:rFonts w:eastAsia="Times New Roman" w:cs="Times New Roman"/>
          <w:noProof/>
          <w:color w:val="000000"/>
          <w:sz w:val="22"/>
        </w:rPr>
        <w:t>Advanced Low-Level Parachute System</w:t>
      </w:r>
    </w:p>
    <w:p w14:paraId="17FF8BBA" w14:textId="77777777" w:rsidR="00C9232E" w:rsidRPr="00AA7A47" w:rsidRDefault="00C9232E" w:rsidP="00C9232E">
      <w:pPr>
        <w:rPr>
          <w:rFonts w:eastAsia="Times New Roman" w:cs="Times New Roman"/>
          <w:color w:val="000000"/>
          <w:sz w:val="22"/>
        </w:rPr>
      </w:pPr>
    </w:p>
    <w:p w14:paraId="41A00F9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34824C4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05B5EDE8" w14:textId="77777777" w:rsidR="00C9232E" w:rsidRPr="00AA7A47" w:rsidRDefault="00C9232E" w:rsidP="00C9232E">
      <w:pPr>
        <w:rPr>
          <w:rFonts w:eastAsia="Times New Roman" w:cs="Times New Roman"/>
          <w:color w:val="000000"/>
          <w:sz w:val="22"/>
        </w:rPr>
      </w:pPr>
    </w:p>
    <w:p w14:paraId="2F749F2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low-level parachute system to insert forces while allowing the aircraft to fly faster and lower than current systems.</w:t>
      </w:r>
    </w:p>
    <w:p w14:paraId="280A1B52" w14:textId="77777777" w:rsidR="00C9232E" w:rsidRPr="00AA7A47" w:rsidRDefault="00C9232E" w:rsidP="00C9232E">
      <w:pPr>
        <w:rPr>
          <w:rFonts w:eastAsia="Times New Roman" w:cs="Times New Roman"/>
          <w:color w:val="000000"/>
          <w:sz w:val="22"/>
        </w:rPr>
      </w:pPr>
    </w:p>
    <w:p w14:paraId="26C6DA34"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Current military low-level parachute systems take one of two paths. Non-maneuverable systems allow for many parachutists in the air or maneuverable systems with limited glide capabilities. Current systems were designed to operate in a mountainous environment and do not emphasize a lower operational altitude. The current systems utilize a front mounted reserve that interferes with the wearing of combat equipment. Current building, antenna, span, and earth (BASE) parachute systems are regularly used at altitudes of less than 500 ft. above ground level (AGL) with initial velocities, both horizontal and vertical, of zero. Advances in the use of lightweight fabric and innovative sewing methods allow BASE parachute systems to minimize system weight.</w:t>
      </w:r>
    </w:p>
    <w:p w14:paraId="35ADC652" w14:textId="77777777" w:rsidR="00C9232E" w:rsidRPr="00AA7A47" w:rsidRDefault="00C9232E" w:rsidP="00C9232E">
      <w:pPr>
        <w:rPr>
          <w:rFonts w:eastAsia="Times New Roman" w:cs="Times New Roman"/>
          <w:noProof/>
          <w:color w:val="000000"/>
          <w:sz w:val="22"/>
        </w:rPr>
      </w:pPr>
    </w:p>
    <w:p w14:paraId="669E11E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An Advanced Low-Level (ALL) parachute system could combine the innovations of the commercial BASE parachute systems, paraglider reserves, and possibly static line military systems. The design needs to provide a consistent on-heading opening while dissipating the energy from the exit speed and allowing for glide to a small drop zone. The challenges of speed, weight, and altitude pose the greatest risk to a successful design.</w:t>
      </w:r>
    </w:p>
    <w:p w14:paraId="59229EA4" w14:textId="77777777" w:rsidR="00C9232E" w:rsidRPr="00AA7A47" w:rsidRDefault="00C9232E" w:rsidP="00C9232E">
      <w:pPr>
        <w:rPr>
          <w:rFonts w:eastAsia="Times New Roman" w:cs="Times New Roman"/>
          <w:noProof/>
          <w:color w:val="000000"/>
          <w:sz w:val="22"/>
        </w:rPr>
      </w:pPr>
    </w:p>
    <w:p w14:paraId="202CE8D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Developing an ALL parachute system could replace the current low-level parachute system. The ALL parachute system could require a different sized system to meet the weight and range requirement. The ALL parachute system must include reliability and safety systems for personnel operations. Proposed systems should meet the following performance specifications:</w:t>
      </w:r>
    </w:p>
    <w:p w14:paraId="75ED9C8E" w14:textId="77777777" w:rsidR="00C9232E" w:rsidRPr="00AA7A47" w:rsidRDefault="00C9232E" w:rsidP="00C9232E">
      <w:pPr>
        <w:rPr>
          <w:rFonts w:eastAsia="Times New Roman" w:cs="Times New Roman"/>
          <w:noProof/>
          <w:color w:val="000000"/>
          <w:sz w:val="22"/>
        </w:rPr>
      </w:pPr>
    </w:p>
    <w:p w14:paraId="379BD79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Minimum exit altitude:  Threshold (T) 750 ft. AGL Objective (O) 500 ft. AGL</w:t>
      </w:r>
    </w:p>
    <w:p w14:paraId="70AB8EC1"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Dropzone height:  (T) 2,000 feet Mean Sea Level (MSL) Objective (O) 4,500 ft. MSL</w:t>
      </w:r>
    </w:p>
    <w:p w14:paraId="0090717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Weight capacity not including ALL system:  (T) 105-300 lbs.  (O) 105-330 lbs.</w:t>
      </w:r>
    </w:p>
    <w:p w14:paraId="405D6C5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Aircraft exit speed:  (T) 145 knot indicated air speed (KIAS) (O) 150 KIAS</w:t>
      </w:r>
    </w:p>
    <w:p w14:paraId="5B1259D0"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Dropzone size:  (T) 360m X 270m (O) 240m X 180m</w:t>
      </w:r>
    </w:p>
    <w:p w14:paraId="6A0C70CE" w14:textId="77777777" w:rsidR="00C9232E" w:rsidRPr="00AA7A47" w:rsidRDefault="00C9232E" w:rsidP="00C9232E">
      <w:pPr>
        <w:rPr>
          <w:rFonts w:eastAsia="Times New Roman" w:cs="Times New Roman"/>
          <w:color w:val="000000"/>
          <w:sz w:val="22"/>
        </w:rPr>
      </w:pPr>
    </w:p>
    <w:p w14:paraId="7A506C6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concepts for an ALL parachute system meeting the requirements described above. Demonstrate the feasibility of the concepts in meeting Marine Corps needs and establish the concepts for development into a useful product for the Marine Corps. Use material testing and analytical modeling to establish feasibility, as appropriate. Provide a Phase II development plan with performance goals and key technical milestones and that addresses technical risk reduction.</w:t>
      </w:r>
    </w:p>
    <w:p w14:paraId="7A5C400D" w14:textId="77777777" w:rsidR="00C9232E" w:rsidRPr="00AA7A47" w:rsidRDefault="00C9232E" w:rsidP="00C9232E">
      <w:pPr>
        <w:rPr>
          <w:rFonts w:eastAsia="Times New Roman" w:cs="Times New Roman"/>
          <w:color w:val="000000"/>
          <w:sz w:val="22"/>
        </w:rPr>
      </w:pPr>
    </w:p>
    <w:p w14:paraId="4012243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prototype for evaluation to determine its capability in meeting the performance goals defined in the Phase II development plan and the Marine Corps requirements for the ALL parachute system. Demonstrate system performance through prototype evaluation and modeling or analytical methods over the required range of parameters including numerous deployment cycles. Use evaluation results to refine the prototype into an initial design that will meet Marine Corps requirements. Prepare a Phase III development plan to transition the technology to Marine Corps use.</w:t>
      </w:r>
    </w:p>
    <w:p w14:paraId="13051932" w14:textId="77777777" w:rsidR="00C9232E" w:rsidRPr="00AA7A47" w:rsidRDefault="00C9232E" w:rsidP="00C9232E">
      <w:pPr>
        <w:rPr>
          <w:rFonts w:eastAsia="Times New Roman" w:cs="Times New Roman"/>
          <w:color w:val="000000"/>
          <w:sz w:val="22"/>
        </w:rPr>
      </w:pPr>
    </w:p>
    <w:p w14:paraId="45A44F4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Support the Marine Corps in transitioning the technology for Marine Corps use. Determine its effectiveness in an operationally relevant environment. Support the Marine Corps in test and validation to certify and qualify the system for Marine Corps use.</w:t>
      </w:r>
    </w:p>
    <w:p w14:paraId="4B81646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lastRenderedPageBreak/>
        <w:t>Low level parachutes are currently used primarily as recreational in the United States. New parachute systems could be used by airborne firefighting services to increase reliability and improve access to remote fires. New designs could be utilized by companies interested in delivering items in Class G airspace.</w:t>
      </w:r>
    </w:p>
    <w:p w14:paraId="3DF4A911" w14:textId="77777777" w:rsidR="00C9232E" w:rsidRPr="00AA7A47" w:rsidRDefault="00C9232E" w:rsidP="00C9232E">
      <w:pPr>
        <w:rPr>
          <w:rFonts w:eastAsia="Times New Roman" w:cs="Times New Roman"/>
          <w:color w:val="000000"/>
          <w:sz w:val="22"/>
        </w:rPr>
      </w:pPr>
    </w:p>
    <w:p w14:paraId="6E06C41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149EB607" w14:textId="687889E5"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Mohammadi, Mohammad A. &amp; Johari, Hamid. “Computation of Flow over a High-Performance Parafoil Canopy.” Journal of Aircraft, 47, 2010, pp. 1338-1345. doi:10.2514/1.47363. </w:t>
      </w:r>
      <w:hyperlink r:id="rId21" w:history="1">
        <w:r w:rsidR="008E4A7D" w:rsidRPr="007743A7">
          <w:rPr>
            <w:rStyle w:val="Hyperlink"/>
            <w:rFonts w:eastAsia="Times New Roman" w:cs="Times New Roman"/>
            <w:noProof/>
            <w:sz w:val="22"/>
          </w:rPr>
          <w:t>https://arc.aiaa.org/doi/abs/10.2514/1.47363</w:t>
        </w:r>
      </w:hyperlink>
      <w:r w:rsidR="008E4A7D">
        <w:rPr>
          <w:rFonts w:eastAsia="Times New Roman" w:cs="Times New Roman"/>
          <w:noProof/>
          <w:color w:val="000000"/>
          <w:sz w:val="22"/>
        </w:rPr>
        <w:t xml:space="preserve"> </w:t>
      </w:r>
    </w:p>
    <w:p w14:paraId="76611C60" w14:textId="77777777" w:rsidR="00247345" w:rsidRPr="00AA7A47" w:rsidRDefault="00247345" w:rsidP="00C9232E">
      <w:pPr>
        <w:rPr>
          <w:rFonts w:eastAsia="Times New Roman" w:cs="Times New Roman"/>
          <w:noProof/>
          <w:color w:val="000000"/>
          <w:sz w:val="22"/>
        </w:rPr>
      </w:pPr>
    </w:p>
    <w:p w14:paraId="27B9D93A" w14:textId="3070225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Eslambolchi, Ali &amp; Johari, Hamid. “Simulation of Flowfield Around a Ram-Air Personnel Parachute Canopy.” Journal of Aircraft, 50, 2013. doi: 10.2514/6.2013-1281. </w:t>
      </w:r>
      <w:hyperlink r:id="rId22" w:history="1">
        <w:r w:rsidR="008E4A7D" w:rsidRPr="007743A7">
          <w:rPr>
            <w:rStyle w:val="Hyperlink"/>
            <w:rFonts w:eastAsia="Times New Roman" w:cs="Times New Roman"/>
            <w:noProof/>
            <w:sz w:val="22"/>
          </w:rPr>
          <w:t>https://arc.aiaa.org/doi/abs/10.2514/1.C032169</w:t>
        </w:r>
      </w:hyperlink>
      <w:r w:rsidR="008E4A7D">
        <w:rPr>
          <w:rFonts w:eastAsia="Times New Roman" w:cs="Times New Roman"/>
          <w:noProof/>
          <w:color w:val="000000"/>
          <w:sz w:val="22"/>
        </w:rPr>
        <w:t xml:space="preserve"> </w:t>
      </w:r>
    </w:p>
    <w:p w14:paraId="0B9A2FB6" w14:textId="77777777" w:rsidR="00247345" w:rsidRPr="00AA7A47" w:rsidRDefault="00247345" w:rsidP="00C9232E">
      <w:pPr>
        <w:rPr>
          <w:rFonts w:eastAsia="Times New Roman" w:cs="Times New Roman"/>
          <w:noProof/>
          <w:color w:val="000000"/>
          <w:sz w:val="22"/>
        </w:rPr>
      </w:pPr>
    </w:p>
    <w:p w14:paraId="1FCF3FC4" w14:textId="764C0E7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Soreide, Kjetil, Ellingsen, Christian Lycke and Vibeke Knutson. “How Dangerous Is BASE Jumping? An Analysis of Adverse Events in 20,850 Jumps From the Kjerag Massif, Norway.” The Journal of Trauma: Injury, Infection, and Critical Care 62, no. 5, May 2007, pp. 1113–1117. doi:10.1097/01.ta.0000239815.73858.88. </w:t>
      </w:r>
      <w:hyperlink r:id="rId23" w:history="1">
        <w:r w:rsidR="008E4A7D" w:rsidRPr="007743A7">
          <w:rPr>
            <w:rStyle w:val="Hyperlink"/>
            <w:rFonts w:eastAsia="Times New Roman" w:cs="Times New Roman"/>
            <w:noProof/>
            <w:sz w:val="22"/>
          </w:rPr>
          <w:t>https://www.ncbi.nlm.nih.gov/pubmed/17495709</w:t>
        </w:r>
      </w:hyperlink>
      <w:r w:rsidR="008E4A7D">
        <w:rPr>
          <w:rFonts w:eastAsia="Times New Roman" w:cs="Times New Roman"/>
          <w:noProof/>
          <w:color w:val="000000"/>
          <w:sz w:val="22"/>
        </w:rPr>
        <w:t xml:space="preserve"> </w:t>
      </w:r>
    </w:p>
    <w:p w14:paraId="6CCE16CB" w14:textId="77777777" w:rsidR="00C9232E" w:rsidRPr="00AA7A47" w:rsidRDefault="00C9232E" w:rsidP="00C9232E">
      <w:pPr>
        <w:rPr>
          <w:rFonts w:eastAsia="Times New Roman" w:cs="Times New Roman"/>
          <w:color w:val="000000"/>
          <w:sz w:val="22"/>
        </w:rPr>
      </w:pPr>
    </w:p>
    <w:p w14:paraId="394D6CB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Parachute, Static Line, BASE, Canopy, Lightweight Fabric, Sewing</w:t>
      </w:r>
    </w:p>
    <w:p w14:paraId="6A50BC29" w14:textId="77777777" w:rsidR="00C9232E" w:rsidRPr="00AA7A47" w:rsidRDefault="00C9232E" w:rsidP="00C9232E">
      <w:pPr>
        <w:rPr>
          <w:rFonts w:eastAsia="Times New Roman" w:cs="Times New Roman"/>
          <w:color w:val="000000"/>
          <w:sz w:val="22"/>
        </w:rPr>
      </w:pPr>
    </w:p>
    <w:p w14:paraId="1A004C3F" w14:textId="77777777" w:rsidR="00C9232E" w:rsidRPr="00AA7A47" w:rsidRDefault="00C9232E" w:rsidP="00C9232E">
      <w:pPr>
        <w:tabs>
          <w:tab w:val="left" w:pos="1260"/>
        </w:tabs>
        <w:ind w:left="270"/>
        <w:rPr>
          <w:rFonts w:eastAsia="Times New Roman" w:cs="Times New Roman"/>
          <w:color w:val="000000"/>
          <w:sz w:val="22"/>
        </w:rPr>
      </w:pPr>
    </w:p>
    <w:p w14:paraId="1879C430" w14:textId="77777777" w:rsidR="00C9232E" w:rsidRPr="00AA7A47" w:rsidRDefault="00C9232E" w:rsidP="00C9232E">
      <w:pPr>
        <w:tabs>
          <w:tab w:val="left" w:pos="1260"/>
        </w:tabs>
        <w:ind w:left="270"/>
        <w:rPr>
          <w:rFonts w:eastAsia="Times New Roman" w:cs="Times New Roman"/>
          <w:color w:val="000000"/>
          <w:sz w:val="22"/>
        </w:rPr>
      </w:pPr>
    </w:p>
    <w:p w14:paraId="12681ADD" w14:textId="77777777" w:rsidR="00C9232E" w:rsidRPr="00AA7A47" w:rsidRDefault="00C9232E" w:rsidP="00C9232E">
      <w:pPr>
        <w:tabs>
          <w:tab w:val="left" w:pos="1260"/>
        </w:tabs>
        <w:ind w:left="270"/>
        <w:rPr>
          <w:rFonts w:eastAsia="Times New Roman" w:cs="Times New Roman"/>
          <w:color w:val="000000"/>
          <w:sz w:val="22"/>
        </w:rPr>
      </w:pPr>
    </w:p>
    <w:p w14:paraId="3EDB5751" w14:textId="77777777" w:rsidR="00C9232E" w:rsidRPr="00AA7A47" w:rsidRDefault="00C9232E" w:rsidP="00C9232E">
      <w:pPr>
        <w:rPr>
          <w:rFonts w:eastAsia="Times New Roman" w:cs="Times New Roman"/>
          <w:color w:val="000000"/>
          <w:sz w:val="22"/>
        </w:rPr>
      </w:pPr>
    </w:p>
    <w:p w14:paraId="7FB19FC1" w14:textId="77777777" w:rsidR="00C9232E" w:rsidRPr="00AA7A47" w:rsidRDefault="00C9232E" w:rsidP="00C9232E">
      <w:pPr>
        <w:rPr>
          <w:rFonts w:eastAsia="Times New Roman" w:cs="Times New Roman"/>
          <w:color w:val="000000"/>
          <w:sz w:val="22"/>
        </w:rPr>
      </w:pPr>
    </w:p>
    <w:p w14:paraId="5C4AAD71" w14:textId="77777777" w:rsidR="00C9232E" w:rsidRPr="00AA7A47" w:rsidRDefault="00C9232E" w:rsidP="00C9232E">
      <w:pPr>
        <w:rPr>
          <w:sz w:val="22"/>
        </w:rPr>
        <w:sectPr w:rsidR="00C9232E" w:rsidRPr="00AA7A47" w:rsidSect="00B178FE">
          <w:footerReference w:type="default" r:id="rId24"/>
          <w:pgSz w:w="12240" w:h="15840"/>
          <w:pgMar w:top="1440" w:right="1440" w:bottom="1440" w:left="1440" w:header="720" w:footer="720" w:gutter="0"/>
          <w:pgNumType w:start="1"/>
          <w:cols w:space="720"/>
          <w:docGrid w:linePitch="360"/>
        </w:sectPr>
      </w:pPr>
    </w:p>
    <w:p w14:paraId="37ECAB7B"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N202-089</w:t>
      </w:r>
      <w:r w:rsidRPr="00AA7A47">
        <w:rPr>
          <w:rFonts w:eastAsia="Times New Roman" w:cs="Times New Roman"/>
          <w:color w:val="000000"/>
          <w:sz w:val="22"/>
        </w:rPr>
        <w:tab/>
        <w:t xml:space="preserve">TITLE: </w:t>
      </w:r>
      <w:r w:rsidRPr="00AA7A47">
        <w:rPr>
          <w:rFonts w:eastAsia="Times New Roman" w:cs="Times New Roman"/>
          <w:noProof/>
          <w:color w:val="000000"/>
          <w:sz w:val="22"/>
        </w:rPr>
        <w:t>Focused Enhanced Acoustic-Driver Technologies (FEAT) for Long Range Non-Lethal Hail and Warn Capabilities</w:t>
      </w:r>
    </w:p>
    <w:p w14:paraId="0D7B68F3" w14:textId="77777777" w:rsidR="00C9232E" w:rsidRPr="00AA7A47" w:rsidRDefault="00C9232E" w:rsidP="00C9232E">
      <w:pPr>
        <w:rPr>
          <w:rFonts w:eastAsia="Times New Roman" w:cs="Times New Roman"/>
          <w:color w:val="000000"/>
          <w:sz w:val="22"/>
        </w:rPr>
      </w:pPr>
    </w:p>
    <w:p w14:paraId="5275EEE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Directed Energy, Microelectronics</w:t>
      </w:r>
    </w:p>
    <w:p w14:paraId="115A9F0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Weapons</w:t>
      </w:r>
    </w:p>
    <w:p w14:paraId="5C92E512" w14:textId="77777777" w:rsidR="00C9232E" w:rsidRPr="00AA7A47" w:rsidRDefault="00C9232E" w:rsidP="00C9232E">
      <w:pPr>
        <w:rPr>
          <w:rFonts w:eastAsia="Times New Roman" w:cs="Times New Roman"/>
          <w:color w:val="000000"/>
          <w:sz w:val="22"/>
        </w:rPr>
      </w:pPr>
    </w:p>
    <w:p w14:paraId="0A6AB91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Focused Enhanced Acoustic-Driver Technology (FEAT) for Long Range Non-Lethal hail and warn capabilities. Provide long range non-lethal hail and warn capabilities to deny access into/out of an area to individuals, move individuals through an area, suppress individuals in open and confined spaces, and stop vehicles and vessels by providing intelligible voice commands to vehicle/vessel operators.</w:t>
      </w:r>
    </w:p>
    <w:p w14:paraId="3B4C2B48" w14:textId="77777777" w:rsidR="00C9232E" w:rsidRPr="00AA7A47" w:rsidRDefault="00C9232E" w:rsidP="00C9232E">
      <w:pPr>
        <w:rPr>
          <w:rFonts w:eastAsia="Times New Roman" w:cs="Times New Roman"/>
          <w:color w:val="000000"/>
          <w:sz w:val="22"/>
        </w:rPr>
      </w:pPr>
    </w:p>
    <w:p w14:paraId="7425474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Typical Commercial Off-the-Shelf (COTS) acoustic hailing devices (AHDs) employ an array of acoustic drivers in their systems that produce peak acoustic outputs (Sensitivity – anechoic) of ~ 109 dB. These acoustic arrays also employ acoustic beamforming techniques using 8 or more single acoustic drivers to produce maximum peak sound pressure levels (SPLs) at 1 meter in excess of 156 dB (A-weighted). To meet current DoD Hail and Warn range performance requirements, these COTS AHD (arrayed) systems get very large (e.g., &gt; 64 inches in diameter) and very heavy (e.g., &gt; 350 pounds), and are expensive (e.g., &gt; $100K) [Refs 1-2]. Improving the range and voice intelligibility performance of these hail and warn devices is dependent on 4 primary AHD system performance specifications: (1) increasing the acoustic output levels of each of the acoustic drivers (measured in SPLs); (2) increasing the gain in delivered SPLs achieved by employing adaptive beamforming techniques [Ref 3]; (3) improving the clarity/intelligibility and sound penetration capabilities of the voice/warning signal commands delivered at range through complicated battlefield atmospheres by using lower frequencies (e.g., projecting audible frequencies (in-air) from ~ 100 – 2500 Hz) [Ref 4]; and (4) implementing an atmospheric compensation algorithm that will allow for better targeting of individuals at distance in typical battlefield atmospheres.    </w:t>
      </w:r>
    </w:p>
    <w:p w14:paraId="552BDAF0" w14:textId="77777777" w:rsidR="00C9232E" w:rsidRPr="00AA7A47" w:rsidRDefault="00C9232E" w:rsidP="00C9232E">
      <w:pPr>
        <w:rPr>
          <w:rFonts w:eastAsia="Times New Roman" w:cs="Times New Roman"/>
          <w:noProof/>
          <w:color w:val="000000"/>
          <w:sz w:val="22"/>
        </w:rPr>
      </w:pPr>
    </w:p>
    <w:p w14:paraId="0E7AFDEF"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Increasing the acoustic output levels of the acoustic drivers from 109 dB to 123 dB or greater is a technical challenge. This 14 dB increase in sound pressure level (SPL) equates to a 14X increase in AHD loudness as this is a logarithmic scale. This increase will require research to develop stronger magnets but with lower mass and stronger diaphragm materials to increase overall system reliability. The resulting full-system acoustic driver, which includes the magnet, compression driver and direction horn, shall weigh less than 3 pounds. The AHD shall also incorporate an adaptive beam forming algorithm that will increase the maximum peak sound pressure level output of the entire system. Maximum SPLs in excess of 156 dB (A-weighted) shall be achieved. Improved voice intelligibility shall be achieved at ranges in excess of 2000 meters by employing focused low frequency sound (projecting sound in the 100 – 2500 Hz frequencies ranges). These low frequencies propagate better near the ground and just above the air/water surface, and also penetrate better into structures and confined spaces such as vehicles and/or buildings. Finally, this next-generation AHD system shall incorporate an atmospheric propagation correction tool to allow for better target aiming at range, i.e., the tool will correct for normal acoustic beam refractions in the atmosphere and for windage.     </w:t>
      </w:r>
    </w:p>
    <w:p w14:paraId="1F6C7E03" w14:textId="77777777" w:rsidR="00C9232E" w:rsidRPr="00AA7A47" w:rsidRDefault="00C9232E" w:rsidP="00C9232E">
      <w:pPr>
        <w:rPr>
          <w:rFonts w:eastAsia="Times New Roman" w:cs="Times New Roman"/>
          <w:noProof/>
          <w:color w:val="000000"/>
          <w:sz w:val="22"/>
        </w:rPr>
      </w:pPr>
    </w:p>
    <w:p w14:paraId="202AF7CF"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newly developed next generation compact/lightweight AHD will achieve long range hail and warn at ranges in excess of 2000 meters. The next-gen AHD will incorporate enhanced acoustic drivers (with single acoustic driver outputs of &gt; 123 dB), an acoustic beam forming algorithm, projection of lower frequencies (100 -2500 Hz) for improved voice command intelligibility, and an atmospheric compensator tool to allow for better more precise aiming.</w:t>
      </w:r>
    </w:p>
    <w:p w14:paraId="2B7174F3" w14:textId="77777777" w:rsidR="00C9232E" w:rsidRPr="00AA7A47" w:rsidRDefault="00C9232E" w:rsidP="00C9232E">
      <w:pPr>
        <w:rPr>
          <w:rFonts w:eastAsia="Times New Roman" w:cs="Times New Roman"/>
          <w:color w:val="000000"/>
          <w:sz w:val="22"/>
        </w:rPr>
      </w:pPr>
    </w:p>
    <w:p w14:paraId="3AA0635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 xml:space="preserve">Develop concepts for an improved (more compact/lightweight and longer range) acoustic hailing device (AHD) that meets the requirements described above. This includes developing (1) an </w:t>
      </w:r>
      <w:r w:rsidRPr="00AA7A47">
        <w:rPr>
          <w:rFonts w:eastAsia="Times New Roman" w:cs="Times New Roman"/>
          <w:noProof/>
          <w:color w:val="000000"/>
          <w:sz w:val="22"/>
        </w:rPr>
        <w:lastRenderedPageBreak/>
        <w:t>improved (123 dB) acoustic output driver design, (2) an optimum adaptive beamforming algorithm for this AHD, (3) low frequency sound projection for improved voice command intelligibility at long ranges, and (4) an atmospheric compensator tool incorporated into the AHD for better targeting. Demonstrate the feasibility of each of these four key AHD subsystems in meeting JNLWD/Marine Corps needs through material testing and analytical modeling, as appropriate of each of the four key sub-systems, as well as for the resulting improved AHD system. Establish that the concepts can be developed into a useful product for the Joint Services. Provide a Phase II development plan with performance goals and key technical milestones, and that will address technical risk reduction.</w:t>
      </w:r>
    </w:p>
    <w:p w14:paraId="360F20D9" w14:textId="77777777" w:rsidR="00C9232E" w:rsidRPr="00AA7A47" w:rsidRDefault="00C9232E" w:rsidP="00C9232E">
      <w:pPr>
        <w:rPr>
          <w:rFonts w:eastAsia="Times New Roman" w:cs="Times New Roman"/>
          <w:color w:val="000000"/>
          <w:sz w:val="22"/>
        </w:rPr>
      </w:pPr>
    </w:p>
    <w:p w14:paraId="7D6BF96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next-generation AHD prototype for evaluation to determine its capability in meeting the performance goals defined in the Phase II development plan and the Marine Corps requirements for the next generation AHD. Prototype and test all four key subsystems of the new AHD. Evaluate the system performance of each of the 4 key subsystems and the next-gen AHD system prototype. Confirm and modify the modeling and the analytical methods developed in Phase I to include measuring the required full range of parameters including numerous deployment cycles. Use evaluation results to refine the prototype into an initial design that will meet the JNLWD/Marine Corps hail and warn requirements. Prepare a Phase III development plan to transition the technology to Joint Service use.</w:t>
      </w:r>
    </w:p>
    <w:p w14:paraId="324CA736" w14:textId="77777777" w:rsidR="00C9232E" w:rsidRPr="00AA7A47" w:rsidRDefault="00C9232E" w:rsidP="00C9232E">
      <w:pPr>
        <w:rPr>
          <w:rFonts w:eastAsia="Times New Roman" w:cs="Times New Roman"/>
          <w:color w:val="000000"/>
          <w:sz w:val="22"/>
        </w:rPr>
      </w:pPr>
    </w:p>
    <w:p w14:paraId="41B7899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Support the JNLWD/Marine Corps in transitioning the technology for Joint Service use. Develop the next-generation Acoustic Hailing Device for evaluation to determine its effectiveness in an operationally relevant environment. Support the JNLWD/Marine Corps for test and validation to certify and qualify the system for Joint Service use.</w:t>
      </w:r>
    </w:p>
    <w:p w14:paraId="3925A6C4" w14:textId="77777777" w:rsidR="00C9232E" w:rsidRPr="00AA7A47" w:rsidRDefault="00C9232E" w:rsidP="00C9232E">
      <w:pPr>
        <w:rPr>
          <w:rFonts w:eastAsia="Times New Roman" w:cs="Times New Roman"/>
          <w:noProof/>
          <w:color w:val="000000"/>
          <w:sz w:val="22"/>
        </w:rPr>
      </w:pPr>
    </w:p>
    <w:p w14:paraId="747B894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A compact, lightweight, long-range acoustic hail and warn capability has significant commercial applications beyond the DoD. Other government agencies, such as the Department of Justice (DoJ) and the Department of Homeland Security (DHS) to include Customs and Border Patrol have actively been researching these types of AHDs to again deliver voice command warnings at ranges in excess of 2000 meters. Local civilian law enforcement specifically conducts missions to support both building entry, clear-a-space, and orderly evacuation. Currently overall system size, weight, and cost have hindered the use of these systems by these agencies. This SBIR topic specifically addresses overall system size, weight, power consumption, thermal cooling, and cost all while drastically improving AHD performance.</w:t>
      </w:r>
    </w:p>
    <w:p w14:paraId="424EBECA" w14:textId="77777777" w:rsidR="00C9232E" w:rsidRPr="00AA7A47" w:rsidRDefault="00C9232E" w:rsidP="00C9232E">
      <w:pPr>
        <w:rPr>
          <w:rFonts w:eastAsia="Times New Roman" w:cs="Times New Roman"/>
          <w:color w:val="000000"/>
          <w:sz w:val="22"/>
        </w:rPr>
      </w:pPr>
    </w:p>
    <w:p w14:paraId="61FA1C3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5319DCE6" w14:textId="7AAB111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“LRAD 1000RX Remotely Operated, Integrated Communication Systems Datasheet.” Long Range Acoustic Device (LRAD) Corporation, San Diego, CA. </w:t>
      </w:r>
      <w:hyperlink r:id="rId25" w:history="1">
        <w:r w:rsidR="00792223" w:rsidRPr="007743A7">
          <w:rPr>
            <w:rStyle w:val="Hyperlink"/>
            <w:rFonts w:eastAsia="Times New Roman" w:cs="Times New Roman"/>
            <w:noProof/>
            <w:sz w:val="22"/>
          </w:rPr>
          <w:t>https://adsinc.com/wp-content/uploads/2018/06/LRAD_Datasheet_1000RX.pdf</w:t>
        </w:r>
      </w:hyperlink>
      <w:r w:rsidR="00792223">
        <w:rPr>
          <w:rFonts w:eastAsia="Times New Roman" w:cs="Times New Roman"/>
          <w:noProof/>
          <w:color w:val="000000"/>
          <w:sz w:val="22"/>
        </w:rPr>
        <w:t xml:space="preserve">  </w:t>
      </w:r>
    </w:p>
    <w:p w14:paraId="651FE38E" w14:textId="77777777" w:rsidR="00E35892" w:rsidRPr="00AA7A47" w:rsidRDefault="00E35892" w:rsidP="00C9232E">
      <w:pPr>
        <w:rPr>
          <w:rFonts w:eastAsia="Times New Roman" w:cs="Times New Roman"/>
          <w:noProof/>
          <w:color w:val="000000"/>
          <w:sz w:val="22"/>
        </w:rPr>
      </w:pPr>
    </w:p>
    <w:p w14:paraId="223C38C0" w14:textId="3AE5493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Scott, Richard J. (Joint Non-Lethal Weapons Directorate) and Eggert, Joseph (Naval Surface Warfare Center Dahlgren), Distributed Sound and Light Array (DSLA) Lite - Balikatan Experiment </w:t>
      </w:r>
      <w:r w:rsidR="00363255">
        <w:rPr>
          <w:rFonts w:eastAsia="Times New Roman" w:cs="Times New Roman"/>
          <w:noProof/>
          <w:color w:val="000000"/>
          <w:sz w:val="22"/>
        </w:rPr>
        <w:t xml:space="preserve">5 MAY </w:t>
      </w:r>
      <w:r w:rsidRPr="00AA7A47">
        <w:rPr>
          <w:rFonts w:eastAsia="Times New Roman" w:cs="Times New Roman"/>
          <w:noProof/>
          <w:color w:val="000000"/>
          <w:sz w:val="22"/>
        </w:rPr>
        <w:t xml:space="preserve">2014, Quantico, VA, 5 May 2014. </w:t>
      </w:r>
      <w:hyperlink r:id="rId26" w:history="1">
        <w:r w:rsidR="00363255" w:rsidRPr="007743A7">
          <w:rPr>
            <w:rStyle w:val="Hyperlink"/>
            <w:rFonts w:eastAsia="Times New Roman" w:cs="Times New Roman"/>
            <w:noProof/>
            <w:sz w:val="22"/>
          </w:rPr>
          <w:t>navysbir.com/n20_2/N202-089-REFERENCE-2-DSLA_Lite.pdf</w:t>
        </w:r>
      </w:hyperlink>
      <w:r w:rsidR="00363255">
        <w:rPr>
          <w:rFonts w:eastAsia="Times New Roman" w:cs="Times New Roman"/>
          <w:noProof/>
          <w:color w:val="000000"/>
          <w:sz w:val="22"/>
        </w:rPr>
        <w:t xml:space="preserve">   </w:t>
      </w:r>
    </w:p>
    <w:p w14:paraId="56231298" w14:textId="77777777" w:rsidR="00E35892" w:rsidRPr="00AA7A47" w:rsidRDefault="00E35892" w:rsidP="00C9232E">
      <w:pPr>
        <w:rPr>
          <w:rFonts w:eastAsia="Times New Roman" w:cs="Times New Roman"/>
          <w:noProof/>
          <w:color w:val="000000"/>
          <w:sz w:val="22"/>
        </w:rPr>
      </w:pPr>
    </w:p>
    <w:p w14:paraId="3CC448C5" w14:textId="1D574485" w:rsidR="00363255"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Wikipedia, Adaptive beamformer, </w:t>
      </w:r>
      <w:r w:rsidR="00363255" w:rsidRPr="00363255">
        <w:rPr>
          <w:rFonts w:eastAsia="Times New Roman" w:cs="Times New Roman"/>
          <w:noProof/>
          <w:color w:val="000000"/>
          <w:sz w:val="22"/>
        </w:rPr>
        <w:t>, 10 May 2019</w:t>
      </w:r>
      <w:r w:rsidR="00363255">
        <w:rPr>
          <w:rFonts w:eastAsia="Times New Roman" w:cs="Times New Roman"/>
          <w:noProof/>
          <w:color w:val="000000"/>
          <w:sz w:val="22"/>
        </w:rPr>
        <w:t xml:space="preserve"> </w:t>
      </w:r>
      <w:hyperlink r:id="rId27" w:history="1">
        <w:r w:rsidR="00363255" w:rsidRPr="007743A7">
          <w:rPr>
            <w:rStyle w:val="Hyperlink"/>
            <w:rFonts w:eastAsia="Times New Roman" w:cs="Times New Roman"/>
            <w:noProof/>
            <w:sz w:val="22"/>
          </w:rPr>
          <w:t>https://en.wikipedia.org/wiki/Adaptive_beamformer</w:t>
        </w:r>
      </w:hyperlink>
      <w:r w:rsidR="00363255">
        <w:rPr>
          <w:rFonts w:eastAsia="Times New Roman" w:cs="Times New Roman"/>
          <w:noProof/>
          <w:color w:val="000000"/>
          <w:sz w:val="22"/>
        </w:rPr>
        <w:t xml:space="preserve"> </w:t>
      </w:r>
    </w:p>
    <w:p w14:paraId="196CA324" w14:textId="77777777" w:rsidR="00363255" w:rsidRDefault="00363255" w:rsidP="00C9232E">
      <w:pPr>
        <w:rPr>
          <w:rFonts w:eastAsia="Times New Roman" w:cs="Times New Roman"/>
          <w:noProof/>
          <w:color w:val="000000"/>
          <w:sz w:val="22"/>
        </w:rPr>
      </w:pPr>
    </w:p>
    <w:p w14:paraId="7B59E561" w14:textId="51287DB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Brixen, Eddy B., “Facts About Speech Intelligibility.” DPA Microphones Inc. </w:t>
      </w:r>
      <w:hyperlink r:id="rId28" w:history="1">
        <w:r w:rsidR="00576A94" w:rsidRPr="007743A7">
          <w:rPr>
            <w:rStyle w:val="Hyperlink"/>
            <w:rFonts w:eastAsia="Times New Roman" w:cs="Times New Roman"/>
            <w:noProof/>
            <w:sz w:val="22"/>
          </w:rPr>
          <w:t>https://www.dpamicrophones.com/mic-university/facts-about-speech-intelligibility</w:t>
        </w:r>
      </w:hyperlink>
      <w:r w:rsidRPr="00AA7A47">
        <w:rPr>
          <w:rFonts w:eastAsia="Times New Roman" w:cs="Times New Roman"/>
          <w:noProof/>
          <w:color w:val="000000"/>
          <w:sz w:val="22"/>
        </w:rPr>
        <w:t>.</w:t>
      </w:r>
      <w:r w:rsidR="00576A94">
        <w:rPr>
          <w:rFonts w:eastAsia="Times New Roman" w:cs="Times New Roman"/>
          <w:noProof/>
          <w:color w:val="000000"/>
          <w:sz w:val="22"/>
        </w:rPr>
        <w:t xml:space="preserve"> </w:t>
      </w:r>
    </w:p>
    <w:p w14:paraId="42C1ACF4" w14:textId="77777777" w:rsidR="00C9232E" w:rsidRPr="00AA7A47" w:rsidRDefault="00C9232E" w:rsidP="00C9232E">
      <w:pPr>
        <w:rPr>
          <w:rFonts w:eastAsia="Times New Roman" w:cs="Times New Roman"/>
          <w:color w:val="000000"/>
          <w:sz w:val="22"/>
        </w:rPr>
      </w:pPr>
    </w:p>
    <w:p w14:paraId="1B14EA1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Acoustic Hailing Device, AHD, Acoustic Drivers, Compression Drivers, Acoustic Adaptive Beamforming, Voice Intelligibility, Acoustic Atmospheric Compensator Tool</w:t>
      </w:r>
    </w:p>
    <w:p w14:paraId="3683DDF6" w14:textId="77777777" w:rsidR="00C9232E" w:rsidRPr="00AA7A47" w:rsidRDefault="00C9232E" w:rsidP="007D64C5">
      <w:pPr>
        <w:tabs>
          <w:tab w:val="left" w:pos="1260"/>
        </w:tabs>
        <w:rPr>
          <w:rFonts w:eastAsia="Times New Roman" w:cs="Times New Roman"/>
          <w:color w:val="000000"/>
          <w:sz w:val="22"/>
        </w:rPr>
      </w:pPr>
    </w:p>
    <w:p w14:paraId="7BE6F351" w14:textId="77777777" w:rsidR="00C9232E" w:rsidRPr="00AA7A47" w:rsidRDefault="00C9232E" w:rsidP="00C9232E">
      <w:pPr>
        <w:tabs>
          <w:tab w:val="left" w:pos="1260"/>
        </w:tabs>
        <w:ind w:left="270"/>
        <w:rPr>
          <w:rFonts w:eastAsia="Times New Roman" w:cs="Times New Roman"/>
          <w:color w:val="000000"/>
          <w:sz w:val="22"/>
        </w:rPr>
      </w:pPr>
    </w:p>
    <w:p w14:paraId="6611592B" w14:textId="77777777" w:rsidR="00C9232E" w:rsidRPr="00AA7A47" w:rsidRDefault="00C9232E" w:rsidP="00C9232E">
      <w:pPr>
        <w:tabs>
          <w:tab w:val="left" w:pos="1260"/>
        </w:tabs>
        <w:ind w:left="270"/>
        <w:rPr>
          <w:rFonts w:eastAsia="Times New Roman" w:cs="Times New Roman"/>
          <w:color w:val="000000"/>
          <w:sz w:val="22"/>
        </w:rPr>
      </w:pPr>
    </w:p>
    <w:p w14:paraId="3A9CED48"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3147BE92"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N202-090</w:t>
      </w:r>
      <w:r w:rsidRPr="00AA7A47">
        <w:rPr>
          <w:rFonts w:eastAsia="Times New Roman" w:cs="Times New Roman"/>
          <w:color w:val="000000"/>
          <w:sz w:val="22"/>
        </w:rPr>
        <w:tab/>
        <w:t xml:space="preserve">TITLE: </w:t>
      </w:r>
      <w:r w:rsidRPr="00AA7A47">
        <w:rPr>
          <w:rFonts w:eastAsia="Times New Roman" w:cs="Times New Roman"/>
          <w:noProof/>
          <w:color w:val="000000"/>
          <w:sz w:val="22"/>
        </w:rPr>
        <w:t>Single Amphibious Integrated Precision Augmented Reality Navigation (SAIPAN) System</w:t>
      </w:r>
    </w:p>
    <w:p w14:paraId="2866B198" w14:textId="77777777" w:rsidR="00C9232E" w:rsidRPr="00AA7A47" w:rsidRDefault="00C9232E" w:rsidP="00C9232E">
      <w:pPr>
        <w:rPr>
          <w:rFonts w:eastAsia="Times New Roman" w:cs="Times New Roman"/>
          <w:color w:val="000000"/>
          <w:sz w:val="22"/>
        </w:rPr>
      </w:pPr>
    </w:p>
    <w:p w14:paraId="06B7E3C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Autonomy, Artificial Intelligence/ Machine Learning</w:t>
      </w:r>
    </w:p>
    <w:p w14:paraId="57AAB8D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Ground Sea</w:t>
      </w:r>
    </w:p>
    <w:p w14:paraId="4B81DEA1" w14:textId="77777777" w:rsidR="00C9232E" w:rsidRPr="00AA7A47" w:rsidRDefault="00C9232E" w:rsidP="00C9232E">
      <w:pPr>
        <w:rPr>
          <w:rFonts w:eastAsia="Times New Roman" w:cs="Times New Roman"/>
          <w:color w:val="000000"/>
          <w:sz w:val="22"/>
        </w:rPr>
      </w:pPr>
    </w:p>
    <w:p w14:paraId="5046AE1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single amphibious integrated precision augmented-reality navigation system (SAIPAN) that would integrate the GPS signals from the vehicle/craft’s receiver with inertial guidance data and manually entered coordinates to display virtually marked lanes that an operator would use to assist in maneuvering. Ensure that the integrated system is able to communicate with other systems in the littoral environment to create a shared common operating picture, e.g., vehicles could receive updated information on explosive and non-explosive obstacles in the battle space and virtually display these obstacles onto an operator’s display that would enable the vehicle/craft operator to maneuver with much higher precision within smaller lanes. Design a system that would have a mounted hardware suite for vehicles/crafts (e.g., Amphibious Combat Vehicle (ACV),  Assault Breacher Vehicle (ABV), Amphibious Assault Vehicle (AAV), Landing Craft Air Cushion (LCAC), Landing Craft Utility (LCU)) and a portable/handheld hardware suite for small boats/personal watercraft (Combat Rubber Raiding Craft (CRRC)/RECON Team/SEAL Team).</w:t>
      </w:r>
    </w:p>
    <w:p w14:paraId="42927064" w14:textId="77777777" w:rsidR="00C9232E" w:rsidRPr="00AA7A47" w:rsidRDefault="00C9232E" w:rsidP="00C9232E">
      <w:pPr>
        <w:rPr>
          <w:rFonts w:eastAsia="Times New Roman" w:cs="Times New Roman"/>
          <w:color w:val="000000"/>
          <w:sz w:val="22"/>
        </w:rPr>
      </w:pPr>
    </w:p>
    <w:p w14:paraId="06EE8EB6"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An integrated driver/operator display that uses a precision navigation and timing system to generate virtually marked lanes is needed for the littoral combat force of the 21st century. The Naval force lacks the ability to mark assault lanes in the littorals from the deep water through the beach zone using a single integrated system. Different platforms use different methods from the physical marking of lanes by humans through the virtual marking of lanes using GPS coordinates. Both the Navy and Marine Corps use different precision navigation systems on land and in the water. The Navy’s Amphibious Breaching System (ABS) contains four systems: (1) Coastal Battlefield Reconnaissance Asset (COBRA), (2) MINENet Tactical, (3) JDAM Assault Breaching System (JABS), and (4) Augmented Reality Visualization for the Common Operating Picture (ARVCOP). The ARVCOP program was a USMC program within the ABS but failed and was not fielded. Without this capability the Naval Force cannot mark cleared lanes within mined waters and land. This increases risks to craft operating within a mined littoral environment. The Naval force must currently either accept the risk or spend large amounts of time, resources, and personnel to clear larger areas of land and sea mines. The Naval force could reduce risk and costs by investing in a single integrated add-on augmented/virtual driver display that provides a precision navigation capability.  </w:t>
      </w:r>
    </w:p>
    <w:p w14:paraId="08E5A28E" w14:textId="77777777" w:rsidR="00C9232E" w:rsidRPr="00AA7A47" w:rsidRDefault="00C9232E" w:rsidP="00C9232E">
      <w:pPr>
        <w:rPr>
          <w:rFonts w:eastAsia="Times New Roman" w:cs="Times New Roman"/>
          <w:noProof/>
          <w:color w:val="000000"/>
          <w:sz w:val="22"/>
        </w:rPr>
      </w:pPr>
    </w:p>
    <w:p w14:paraId="6C99CB2B"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This single integrated add-on augmented/virtual driver display would pull GPS information from existing and future precision navigation suites (e.g., DoD Assisted GPS Receiver (DAGR), MAPS) and combine it with manually entered information to generate an augmented reality display. The operator would manually enter the grid points of cleared lanes into the system prior to departing the ship. The SAIPAN would combine this information with precision navigation and timing information of existing programs to build the augmented reality picture on the driver display. Once the craft departs the amphibious ship, the operator would drive the craft via the display. The virtual lanes on the display would enable the craft to operate in much narrower lanes with greater confidence than with current naval Tactics Techniques and Procedures (TTPs). The SAIPAN would have a mounted capability for larger crafts/vehicles (e.g., LCAC/LCU/Rigid Hulled Inflatable Boat (RHIB)/ACV/Light Armored Reconnaissance Vehicle (LAV)) and dismounted capability for smaller crafts/vehicles (e.g., Combat Rubber Raiding Craft, Bridge Erection Boat, Divers, Special Forces) and people. Future increments of SAIPAN would take real-time information provided by both sensors and humans and integrate it with existing libraries of information to provide a real-time common operational picture. Inertial navigation data may also be integrated. The precision navigation display would show individual explosive and non-explosive obstacles and allow the </w:t>
      </w:r>
      <w:r w:rsidRPr="00AA7A47">
        <w:rPr>
          <w:rFonts w:eastAsia="Times New Roman" w:cs="Times New Roman"/>
          <w:noProof/>
          <w:color w:val="000000"/>
          <w:sz w:val="22"/>
        </w:rPr>
        <w:lastRenderedPageBreak/>
        <w:t xml:space="preserve">craft to maneuver around these obstacles vice having to remove them, increasing the littoral mobility of craft and decreasing the amount of time and resources to clear this area of obstacles.  </w:t>
      </w:r>
    </w:p>
    <w:p w14:paraId="6314298E" w14:textId="77777777" w:rsidR="00C9232E" w:rsidRPr="00AA7A47" w:rsidRDefault="00C9232E" w:rsidP="00C9232E">
      <w:pPr>
        <w:rPr>
          <w:rFonts w:eastAsia="Times New Roman" w:cs="Times New Roman"/>
          <w:noProof/>
          <w:color w:val="000000"/>
          <w:sz w:val="22"/>
        </w:rPr>
      </w:pPr>
    </w:p>
    <w:p w14:paraId="178B0D0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There are some government off-the-shelf augmented reality driver displays that meet some of the specification listed below.  </w:t>
      </w:r>
    </w:p>
    <w:p w14:paraId="4C7F49E3" w14:textId="77777777" w:rsidR="00C9232E" w:rsidRPr="00AA7A47" w:rsidRDefault="00C9232E" w:rsidP="00C9232E">
      <w:pPr>
        <w:rPr>
          <w:rFonts w:eastAsia="Times New Roman" w:cs="Times New Roman"/>
          <w:noProof/>
          <w:color w:val="000000"/>
          <w:sz w:val="22"/>
        </w:rPr>
      </w:pPr>
    </w:p>
    <w:p w14:paraId="4A4277D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key performance parameters of the SAIPAN System include the following:</w:t>
      </w:r>
    </w:p>
    <w:p w14:paraId="72FC1592" w14:textId="77777777" w:rsidR="00C9232E" w:rsidRPr="00AA7A47" w:rsidRDefault="00C9232E" w:rsidP="00C9232E">
      <w:pPr>
        <w:rPr>
          <w:rFonts w:eastAsia="Times New Roman" w:cs="Times New Roman"/>
          <w:noProof/>
          <w:color w:val="000000"/>
          <w:sz w:val="22"/>
        </w:rPr>
      </w:pPr>
    </w:p>
    <w:p w14:paraId="4BD47128"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Error rate of &lt;1m</w:t>
      </w:r>
    </w:p>
    <w:p w14:paraId="3005F3C2"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Capable of integrating precision navigation and timing from COTS/GOTS GPS receiver</w:t>
      </w:r>
    </w:p>
    <w:p w14:paraId="6F65265A"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Capable of integrating manually typed/downloaded navigation points from vehicle/craft operator</w:t>
      </w:r>
    </w:p>
    <w:p w14:paraId="167D3279"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Driver display video must be of a quality that meets or exceeds current craft/vehicle systems</w:t>
      </w:r>
    </w:p>
    <w:p w14:paraId="5C061576"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Driver display must enable the operation of the vehicle at night and day</w:t>
      </w:r>
    </w:p>
    <w:p w14:paraId="707230F9"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Augmented reality must be able to be seen at night within the driver/operator compartment</w:t>
      </w:r>
    </w:p>
    <w:p w14:paraId="67CDA9E1"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Augmented reality must show left and right lateral limits of lanes</w:t>
      </w:r>
    </w:p>
    <w:p w14:paraId="57FB0C75"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Display must include 360 degree “birds eye-view” so operator can see direction of vehicle within the lane</w:t>
      </w:r>
    </w:p>
    <w:p w14:paraId="5519B7AC"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System must be compatible with electric power input from military craft/vehicle. Or it should be capable of operating from rechargeable batteries rated for the austere environments, per MIL-STD 810</w:t>
      </w:r>
    </w:p>
    <w:p w14:paraId="56A83326" w14:textId="77777777" w:rsidR="00C9232E" w:rsidRPr="00AA7A47" w:rsidRDefault="00C9232E" w:rsidP="00C34768">
      <w:pPr>
        <w:pStyle w:val="ListParagraph"/>
        <w:numPr>
          <w:ilvl w:val="0"/>
          <w:numId w:val="6"/>
        </w:numPr>
        <w:rPr>
          <w:noProof/>
          <w:color w:val="000000"/>
          <w:sz w:val="22"/>
          <w:szCs w:val="22"/>
        </w:rPr>
      </w:pPr>
      <w:r w:rsidRPr="00AA7A47">
        <w:rPr>
          <w:noProof/>
          <w:color w:val="000000"/>
          <w:sz w:val="22"/>
          <w:szCs w:val="22"/>
        </w:rPr>
        <w:t>Vehicle-mounted system: Physical characteristics that permit installation in amphibious craft, minimizing cube and weight</w:t>
      </w:r>
    </w:p>
    <w:p w14:paraId="0DBF27B4" w14:textId="77777777" w:rsidR="00C9232E" w:rsidRPr="00AA7A47" w:rsidRDefault="00C9232E" w:rsidP="00C34768">
      <w:pPr>
        <w:pStyle w:val="ListParagraph"/>
        <w:numPr>
          <w:ilvl w:val="0"/>
          <w:numId w:val="6"/>
        </w:numPr>
        <w:rPr>
          <w:color w:val="000000"/>
          <w:sz w:val="22"/>
          <w:szCs w:val="22"/>
        </w:rPr>
      </w:pPr>
      <w:r w:rsidRPr="00AA7A47">
        <w:rPr>
          <w:noProof/>
          <w:color w:val="000000"/>
          <w:sz w:val="22"/>
          <w:szCs w:val="22"/>
        </w:rPr>
        <w:t>Portable/hand-held system: Physical characteristics equivalent to Commercial Off-the-Shelf tablets or smart phones (e.g., Panasonic Toughpad, Blackview BV5500)</w:t>
      </w:r>
    </w:p>
    <w:p w14:paraId="7962D145" w14:textId="77777777" w:rsidR="00C9232E" w:rsidRPr="00AA7A47" w:rsidRDefault="00C9232E" w:rsidP="00C9232E">
      <w:pPr>
        <w:rPr>
          <w:rFonts w:eastAsia="Times New Roman" w:cs="Times New Roman"/>
          <w:color w:val="000000"/>
          <w:sz w:val="22"/>
        </w:rPr>
      </w:pPr>
    </w:p>
    <w:p w14:paraId="5F033CB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concepts for a SAIPAN system that meets the requirements described above. Demonstrate the feasibility of the concepts in meeting Marine Corps needs. Establish that the concepts can be developed into a useful product for the Marine Corps. Establish feasibility by material testing and analytical modeling, as appropriate. Provide a Phase II development plan with performance goals and key technical milestones, and that will address technical risk reduction.</w:t>
      </w:r>
    </w:p>
    <w:p w14:paraId="1A3C89F4" w14:textId="77777777" w:rsidR="00C9232E" w:rsidRPr="00AA7A47" w:rsidRDefault="00C9232E" w:rsidP="00C9232E">
      <w:pPr>
        <w:rPr>
          <w:rFonts w:eastAsia="Times New Roman" w:cs="Times New Roman"/>
          <w:color w:val="000000"/>
          <w:sz w:val="22"/>
        </w:rPr>
      </w:pPr>
    </w:p>
    <w:p w14:paraId="1F8510D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scaled prototype for evaluation to determine its capability in meeting the performance goals defined in the Phase II development plan and the Marine Corps requirements for the SAIPAN system. Demonstrate system performance through prototype evaluation and modeling or analytical methods over the required range of parameters including numerous deployment cycles. Use evaluation results to refine the prototype into an initial design that will meet Marine Corps requirements. Prepare a Phase III development plan to transition the technology to Marine Corps use.</w:t>
      </w:r>
    </w:p>
    <w:p w14:paraId="4EE3A840" w14:textId="77777777" w:rsidR="00C9232E" w:rsidRPr="00AA7A47" w:rsidRDefault="00C9232E" w:rsidP="00C9232E">
      <w:pPr>
        <w:rPr>
          <w:rFonts w:eastAsia="Times New Roman" w:cs="Times New Roman"/>
          <w:color w:val="000000"/>
          <w:sz w:val="22"/>
        </w:rPr>
      </w:pPr>
    </w:p>
    <w:p w14:paraId="0EBA762C"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Support the Marine Corps in transitioning the technology for Marine Corps use. Develop a SAIPAN system for evaluation to determine its effectiveness in an operationally relevant environment. Support the Marine Corps for test and validation to certify and qualify the system for Marine Corps use.</w:t>
      </w:r>
    </w:p>
    <w:p w14:paraId="22541E13" w14:textId="77777777" w:rsidR="00C9232E" w:rsidRPr="00AA7A47" w:rsidRDefault="00C9232E" w:rsidP="00C9232E">
      <w:pPr>
        <w:rPr>
          <w:rFonts w:eastAsia="Times New Roman" w:cs="Times New Roman"/>
          <w:noProof/>
          <w:color w:val="000000"/>
          <w:sz w:val="22"/>
        </w:rPr>
      </w:pPr>
    </w:p>
    <w:p w14:paraId="10127933"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system has the potential to be employed by large ships and small crafts to navigate during inclement weather and thus improve safety.</w:t>
      </w:r>
    </w:p>
    <w:p w14:paraId="2FC05925" w14:textId="77777777" w:rsidR="00C9232E" w:rsidRPr="00AA7A47" w:rsidRDefault="00C9232E" w:rsidP="00C9232E">
      <w:pPr>
        <w:rPr>
          <w:rFonts w:eastAsia="Times New Roman" w:cs="Times New Roman"/>
          <w:color w:val="000000"/>
          <w:sz w:val="22"/>
        </w:rPr>
      </w:pPr>
    </w:p>
    <w:p w14:paraId="01289C1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DF8C1F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1. Zysk, Thomas, et al.  “Augmented Reality for Precision Navigation: Enhancing Performance in High-Stress Environments.”  GPS World, 5 August 2019.</w:t>
      </w:r>
    </w:p>
    <w:p w14:paraId="752ABE17" w14:textId="31849B42" w:rsidR="0005578D" w:rsidRDefault="00CA2F54" w:rsidP="00C9232E">
      <w:pPr>
        <w:rPr>
          <w:rFonts w:eastAsia="Times New Roman" w:cs="Times New Roman"/>
          <w:noProof/>
          <w:color w:val="000000"/>
          <w:sz w:val="22"/>
        </w:rPr>
      </w:pPr>
      <w:hyperlink r:id="rId29" w:history="1">
        <w:r w:rsidR="00576A94" w:rsidRPr="007743A7">
          <w:rPr>
            <w:rStyle w:val="Hyperlink"/>
            <w:rFonts w:eastAsia="Times New Roman" w:cs="Times New Roman"/>
            <w:noProof/>
            <w:sz w:val="22"/>
          </w:rPr>
          <w:t>https://www.gpsworld.com/defensenavigationaugmented-reality-precision-navigation-13032/</w:t>
        </w:r>
      </w:hyperlink>
      <w:r w:rsidR="00576A94">
        <w:rPr>
          <w:rFonts w:eastAsia="Times New Roman" w:cs="Times New Roman"/>
          <w:noProof/>
          <w:color w:val="000000"/>
          <w:sz w:val="22"/>
        </w:rPr>
        <w:t xml:space="preserve"> </w:t>
      </w:r>
    </w:p>
    <w:p w14:paraId="362BCB6A" w14:textId="77777777" w:rsidR="0005578D" w:rsidRDefault="0005578D" w:rsidP="00C9232E">
      <w:pPr>
        <w:rPr>
          <w:rFonts w:eastAsia="Times New Roman" w:cs="Times New Roman"/>
          <w:noProof/>
          <w:color w:val="000000"/>
          <w:sz w:val="22"/>
        </w:rPr>
      </w:pPr>
    </w:p>
    <w:p w14:paraId="65B6E8CB" w14:textId="3AE00E94" w:rsidR="00C9232E"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2. Faturechi, Robert, et al. “Iran has Hundreds of Naval Mines, U.S. Navy Minesweepers Find Old Dishwashers and Car Parts.” ProPublica, 5 August 2019.   </w:t>
      </w:r>
      <w:hyperlink r:id="rId30" w:history="1">
        <w:r w:rsidR="00576A94" w:rsidRPr="007743A7">
          <w:rPr>
            <w:rStyle w:val="Hyperlink"/>
            <w:rFonts w:eastAsia="Times New Roman" w:cs="Times New Roman"/>
            <w:noProof/>
            <w:sz w:val="22"/>
          </w:rPr>
          <w:t>https://www.propublica.org/article/iran-has-hundreds-of-naval-mines-us-navy-minesweepers-find-old-dishwashers-car-parts</w:t>
        </w:r>
      </w:hyperlink>
      <w:r w:rsidR="00576A94">
        <w:rPr>
          <w:rFonts w:eastAsia="Times New Roman" w:cs="Times New Roman"/>
          <w:noProof/>
          <w:color w:val="000000"/>
          <w:sz w:val="22"/>
        </w:rPr>
        <w:t xml:space="preserve"> </w:t>
      </w:r>
    </w:p>
    <w:p w14:paraId="409C0926" w14:textId="3D17D849" w:rsidR="006663E6" w:rsidRDefault="006663E6" w:rsidP="00C9232E">
      <w:pPr>
        <w:rPr>
          <w:rFonts w:eastAsia="Times New Roman" w:cs="Times New Roman"/>
          <w:noProof/>
          <w:color w:val="000000"/>
          <w:sz w:val="22"/>
        </w:rPr>
      </w:pPr>
    </w:p>
    <w:p w14:paraId="56D14E6C" w14:textId="51B754F9" w:rsidR="006663E6" w:rsidRPr="00AA7A47" w:rsidRDefault="006663E6" w:rsidP="00C9232E">
      <w:pPr>
        <w:rPr>
          <w:rFonts w:eastAsia="Times New Roman" w:cs="Times New Roman"/>
          <w:noProof/>
          <w:color w:val="000000"/>
          <w:sz w:val="22"/>
        </w:rPr>
      </w:pPr>
      <w:r>
        <w:rPr>
          <w:rFonts w:eastAsia="Times New Roman" w:cs="Times New Roman"/>
          <w:noProof/>
          <w:color w:val="000000"/>
          <w:sz w:val="22"/>
        </w:rPr>
        <w:t xml:space="preserve">3. </w:t>
      </w:r>
      <w:r w:rsidR="00D93ACC">
        <w:rPr>
          <w:rFonts w:eastAsia="Times New Roman" w:cs="Times New Roman"/>
          <w:noProof/>
          <w:color w:val="000000"/>
          <w:sz w:val="22"/>
        </w:rPr>
        <w:t>Example of User Display Images for ARVCOP</w:t>
      </w:r>
      <w:r w:rsidR="00C63F96">
        <w:rPr>
          <w:rFonts w:eastAsia="Times New Roman" w:cs="Times New Roman"/>
          <w:noProof/>
          <w:color w:val="000000"/>
          <w:sz w:val="22"/>
        </w:rPr>
        <w:t xml:space="preserve">, </w:t>
      </w:r>
      <w:r w:rsidR="00C63F96" w:rsidRPr="00C63F96">
        <w:rPr>
          <w:rFonts w:eastAsia="Times New Roman" w:cs="Times New Roman"/>
          <w:noProof/>
          <w:color w:val="000000"/>
          <w:sz w:val="22"/>
        </w:rPr>
        <w:t>SSN-8 and TIMEZERO</w:t>
      </w:r>
      <w:r w:rsidR="00C63F96">
        <w:rPr>
          <w:rFonts w:eastAsia="Times New Roman" w:cs="Times New Roman"/>
          <w:noProof/>
          <w:color w:val="000000"/>
          <w:sz w:val="22"/>
        </w:rPr>
        <w:t xml:space="preserve">. </w:t>
      </w:r>
      <w:hyperlink r:id="rId31" w:history="1">
        <w:r w:rsidR="00664075" w:rsidRPr="00FF0653">
          <w:rPr>
            <w:rStyle w:val="Hyperlink"/>
            <w:rFonts w:eastAsia="Times New Roman" w:cs="Times New Roman"/>
            <w:noProof/>
            <w:sz w:val="22"/>
          </w:rPr>
          <w:t>https://navysbir.com/n20_2/N202-090-REFERENCE-3-SAIPAN-Images.pdf</w:t>
        </w:r>
      </w:hyperlink>
      <w:r w:rsidR="00664075">
        <w:rPr>
          <w:rFonts w:eastAsia="Times New Roman" w:cs="Times New Roman"/>
          <w:noProof/>
          <w:color w:val="000000"/>
          <w:sz w:val="22"/>
        </w:rPr>
        <w:t xml:space="preserve"> </w:t>
      </w:r>
      <w:bookmarkStart w:id="3" w:name="_GoBack"/>
      <w:bookmarkEnd w:id="3"/>
    </w:p>
    <w:p w14:paraId="350D8DEC" w14:textId="77777777" w:rsidR="00C9232E" w:rsidRPr="00AA7A47" w:rsidRDefault="00C9232E" w:rsidP="00C9232E">
      <w:pPr>
        <w:rPr>
          <w:rFonts w:eastAsia="Times New Roman" w:cs="Times New Roman"/>
          <w:color w:val="000000"/>
          <w:sz w:val="22"/>
        </w:rPr>
      </w:pPr>
    </w:p>
    <w:p w14:paraId="640A748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Augmented Reality, Precision Navigation, Driver Display, Navigation, Precision, Virtual</w:t>
      </w:r>
    </w:p>
    <w:p w14:paraId="0025E239" w14:textId="77777777" w:rsidR="00C9232E" w:rsidRPr="00AA7A47" w:rsidRDefault="00C9232E" w:rsidP="00C9232E">
      <w:pPr>
        <w:rPr>
          <w:rFonts w:eastAsia="Times New Roman" w:cs="Times New Roman"/>
          <w:color w:val="000000"/>
          <w:sz w:val="22"/>
        </w:rPr>
      </w:pPr>
    </w:p>
    <w:p w14:paraId="1F8A7E03" w14:textId="77777777" w:rsidR="00C9232E" w:rsidRPr="00AA7A47" w:rsidRDefault="00C9232E" w:rsidP="00C9232E">
      <w:pPr>
        <w:tabs>
          <w:tab w:val="left" w:pos="1260"/>
        </w:tabs>
        <w:ind w:left="270"/>
        <w:rPr>
          <w:rFonts w:eastAsia="Times New Roman" w:cs="Times New Roman"/>
          <w:color w:val="000000"/>
          <w:sz w:val="22"/>
        </w:rPr>
      </w:pPr>
    </w:p>
    <w:p w14:paraId="1F110991" w14:textId="77777777" w:rsidR="00C9232E" w:rsidRPr="00AA7A47" w:rsidRDefault="00C9232E" w:rsidP="00C9232E">
      <w:pPr>
        <w:tabs>
          <w:tab w:val="left" w:pos="1260"/>
        </w:tabs>
        <w:ind w:left="270"/>
        <w:rPr>
          <w:rFonts w:eastAsia="Times New Roman" w:cs="Times New Roman"/>
          <w:color w:val="000000"/>
          <w:sz w:val="22"/>
        </w:rPr>
      </w:pPr>
    </w:p>
    <w:p w14:paraId="6BA8B64C" w14:textId="77777777" w:rsidR="00C9232E" w:rsidRPr="00AA7A47" w:rsidRDefault="00C9232E" w:rsidP="00C9232E">
      <w:pPr>
        <w:tabs>
          <w:tab w:val="left" w:pos="1260"/>
        </w:tabs>
        <w:ind w:left="270"/>
        <w:rPr>
          <w:rFonts w:eastAsia="Times New Roman" w:cs="Times New Roman"/>
          <w:color w:val="000000"/>
          <w:sz w:val="22"/>
        </w:rPr>
      </w:pPr>
    </w:p>
    <w:p w14:paraId="42666B69" w14:textId="77777777" w:rsidR="00C9232E" w:rsidRPr="00AA7A47" w:rsidRDefault="00C9232E" w:rsidP="00C9232E">
      <w:pPr>
        <w:rPr>
          <w:rFonts w:eastAsia="Times New Roman" w:cs="Times New Roman"/>
          <w:color w:val="000000"/>
          <w:sz w:val="22"/>
        </w:rPr>
      </w:pPr>
    </w:p>
    <w:p w14:paraId="6E3360E6" w14:textId="77777777" w:rsidR="00C9232E" w:rsidRPr="00AA7A47" w:rsidRDefault="00C9232E" w:rsidP="00C9232E">
      <w:pPr>
        <w:rPr>
          <w:rFonts w:eastAsia="Times New Roman" w:cs="Times New Roman"/>
          <w:color w:val="000000"/>
          <w:sz w:val="22"/>
        </w:rPr>
      </w:pPr>
    </w:p>
    <w:p w14:paraId="44195BE1"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1BE69830"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N202-091</w:t>
      </w:r>
      <w:r w:rsidRPr="00AA7A47">
        <w:rPr>
          <w:rFonts w:eastAsia="Times New Roman" w:cs="Times New Roman"/>
          <w:color w:val="000000"/>
          <w:sz w:val="22"/>
        </w:rPr>
        <w:tab/>
        <w:t xml:space="preserve">TITLE: </w:t>
      </w:r>
      <w:r w:rsidRPr="00AA7A47">
        <w:rPr>
          <w:rFonts w:eastAsia="Times New Roman" w:cs="Times New Roman"/>
          <w:noProof/>
          <w:color w:val="000000"/>
          <w:sz w:val="22"/>
        </w:rPr>
        <w:t>Artificial Intelligence for Anti-Submarine Warfare Training</w:t>
      </w:r>
    </w:p>
    <w:p w14:paraId="78692DEB" w14:textId="77777777" w:rsidR="00C9232E" w:rsidRPr="00AA7A47" w:rsidRDefault="00C9232E" w:rsidP="00C9232E">
      <w:pPr>
        <w:rPr>
          <w:rFonts w:eastAsia="Times New Roman" w:cs="Times New Roman"/>
          <w:color w:val="000000"/>
          <w:sz w:val="22"/>
        </w:rPr>
      </w:pPr>
    </w:p>
    <w:p w14:paraId="7613915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Artificial Intelligence/ Machine Learning, General Warfighting Requirements (GWR)</w:t>
      </w:r>
    </w:p>
    <w:p w14:paraId="67BAE7D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Information Systems, Human Systems</w:t>
      </w:r>
    </w:p>
    <w:p w14:paraId="085D9A26" w14:textId="77777777" w:rsidR="00C9232E" w:rsidRPr="00AA7A47" w:rsidRDefault="00C9232E" w:rsidP="00C9232E">
      <w:pPr>
        <w:rPr>
          <w:rFonts w:eastAsia="Times New Roman" w:cs="Times New Roman"/>
          <w:color w:val="000000"/>
          <w:sz w:val="22"/>
        </w:rPr>
      </w:pPr>
    </w:p>
    <w:p w14:paraId="09EF524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D339F7E" w14:textId="77777777" w:rsidR="00C9232E" w:rsidRPr="00AA7A47" w:rsidRDefault="00C9232E" w:rsidP="00C9232E">
      <w:pPr>
        <w:rPr>
          <w:rFonts w:eastAsia="Times New Roman" w:cs="Times New Roman"/>
          <w:color w:val="000000"/>
          <w:sz w:val="22"/>
        </w:rPr>
      </w:pPr>
    </w:p>
    <w:p w14:paraId="007A85B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Augment the Navy Anti-Submarine Warfare (ASW) capability via the addition of an artificial intelligence (AI) training aid that can also assist as an operational decision-support tool.</w:t>
      </w:r>
    </w:p>
    <w:p w14:paraId="7769326B" w14:textId="77777777" w:rsidR="00C9232E" w:rsidRPr="00AA7A47" w:rsidRDefault="00C9232E" w:rsidP="00C9232E">
      <w:pPr>
        <w:rPr>
          <w:rFonts w:eastAsia="Times New Roman" w:cs="Times New Roman"/>
          <w:color w:val="000000"/>
          <w:sz w:val="22"/>
        </w:rPr>
      </w:pPr>
    </w:p>
    <w:p w14:paraId="19C02AC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Artificial Intelligence (AI) has increased dramatically over the last five years. This SBIR topic seeks a phased approach to implementing a tactical and evolving Anti-Submarine Warfare (ASW) application with AI technology, specifically the application of AI technology to passive ASW analysis. AI augmentation should be aggressively pursued to increase the manning and training aspects of the AO (operational availability) equation across the Navy. </w:t>
      </w:r>
    </w:p>
    <w:p w14:paraId="7C352B7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1ED1700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This topic is not a case for replacing an acoustic operator with a machine, but rather should be seen as an attempt to point out why AI assistant technology during training and operations would be beneficial not just to the operator, but to the overall ability of the U.S. Navy to conduct ASW operations. The importance of the human operator’s ability to adapt to new information, answer questions about information, and truly analyze an ASW target’s characteristics and behavior cannot be overstated. The human acoustic operator is responsible for providing target-quality data, under any conditions and in any circumstance, to complete the kill chain. That job is not one that machines can currently perform unaided by a human, but is one that machines can augment effectively. Although the AI assistance can provide analytical tools on top of the data, the human operator will still be the one to review the outputs of the algorithms and question whether it makes sense or not. </w:t>
      </w:r>
    </w:p>
    <w:p w14:paraId="63C2FFA0" w14:textId="77777777" w:rsidR="00C9232E" w:rsidRPr="00AA7A47" w:rsidRDefault="00C9232E" w:rsidP="00C9232E">
      <w:pPr>
        <w:rPr>
          <w:rFonts w:eastAsia="Times New Roman" w:cs="Times New Roman"/>
          <w:noProof/>
          <w:color w:val="000000"/>
          <w:sz w:val="22"/>
        </w:rPr>
      </w:pPr>
    </w:p>
    <w:p w14:paraId="4AD5837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Acoustic operators go through approximately two years of initial training, and 18-24 months of advanced, hands-on training at the squadron, to become a basic qualified “operator.” In order to become proficient, or even experienced, the operator needs years of additional submarine contact time. In order to build proficiency, the operator spends long hours on deployment or detachments, conducting ASW on adversary submarines and observing the differences between his or her training and the data that he or she gains while on-station. With additional capabilities of the Maritime Patrol community coming online, the demands on a given acoustic operator have only increased.  </w:t>
      </w:r>
    </w:p>
    <w:p w14:paraId="7C21BDCD" w14:textId="77777777" w:rsidR="00C9232E" w:rsidRPr="00AA7A47" w:rsidRDefault="00C9232E" w:rsidP="00C9232E">
      <w:pPr>
        <w:rPr>
          <w:rFonts w:eastAsia="Times New Roman" w:cs="Times New Roman"/>
          <w:noProof/>
          <w:color w:val="000000"/>
          <w:sz w:val="22"/>
        </w:rPr>
      </w:pPr>
    </w:p>
    <w:p w14:paraId="357B638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With these increased demands, we must recognize the limitations of human acoustic operators when analyzing acoustic data, especially before initially locating a subsurface target, when unsure of when and where contact will appear. As human beings, they can only apply their cognitive process to information from a single sonobuoy at a time. Experience and training may allow the operator to process the information faster and more accurately, but no matter how quickly they work through the information they can only process a limited number of sonobuoys at one time. Additionally, human operators must choose to allocate their cognitive effort into three categories: speed, accuracy, and quantity. At any given time, an operator may choose to allocate their effort to two of the three categories. If an operator desires </w:t>
      </w:r>
      <w:r w:rsidRPr="00AA7A47">
        <w:rPr>
          <w:rFonts w:eastAsia="Times New Roman" w:cs="Times New Roman"/>
          <w:noProof/>
          <w:color w:val="000000"/>
          <w:sz w:val="22"/>
        </w:rPr>
        <w:lastRenderedPageBreak/>
        <w:t xml:space="preserve">to analyze a large quantity of data with a high degree of accuracy, they will sacrifice speed. If they wish to analyze the same set of data quickly, they will sacrifice accuracy. If instead they desire to analyze data with a high degree of accuracy and a high measure of speed, they must reduce the quantity of data they analyze. Although there are exceptions with expert acoustic operators, the majority of acoustic warfare operators (AWOs) are limited by these constraints. </w:t>
      </w:r>
    </w:p>
    <w:p w14:paraId="59A6D849" w14:textId="77777777" w:rsidR="00C9232E" w:rsidRPr="00AA7A47" w:rsidRDefault="00C9232E" w:rsidP="00C9232E">
      <w:pPr>
        <w:rPr>
          <w:rFonts w:eastAsia="Times New Roman" w:cs="Times New Roman"/>
          <w:noProof/>
          <w:color w:val="000000"/>
          <w:sz w:val="22"/>
        </w:rPr>
      </w:pPr>
    </w:p>
    <w:p w14:paraId="70C44DF8"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Fortunately, AI that is trained on representative data sets can assist AWOs in the training and operational context. Initially, an AI assistant could provide novice AWOs with explanations and reasoning why it notices a contact within a set of acoustic data. Additionally, confidence values with those explanations would further involve the human trainee in the situation. Flag officers have recently requested that information that AI systems output should come with a confidence factor as standard practice. Although the trainee would have the final say in all matters, the AI can help scaffold the training so that the trainee has useful information about multiple different variables, and the reasoning why confidence values are what they are. For example, given a training scenario in a body of water, the AI could inform the trainee that there is a 60% match based on acoustic signature and that it is an “X” class submarine. It must also inform that overall confidence value is only 40% because it is rare that the “X” class submarine is ever in this particular body of water. This “pulling back of the curtain” via traceable and explainable AI can ensure the student is privy to more of the information and situation than a human could experience un-assisted. This will also assist in deterring adversarial AI practices that can confuse and trick AI systems into believing something that is not true. If successful during training, this AI capability could also be used in operational settings and updated, via modifying its own code as it learns, in real-time to ensure AWOs conducting operations have all the relevant information. This would allow the assistant to improve the ability of crews to do ASW on station as it mitigates a limitation of human operators. Where a human must choose between speed, accuracy, and quantity, an AI need not make such a choice. When “plugged-in” to the aircraft’s ASW data stream, an AI with sufficient processing power is able to analyze all ASW data in real-time with accuracy (within the parameters of its training). Although the topic is primarily focused on the training aspect, successful implementation of the technology certainly has use beyond training to help all Maritime Patrol aircrew become more effective at their primary role of ASW.</w:t>
      </w:r>
    </w:p>
    <w:p w14:paraId="35F0210D" w14:textId="77777777" w:rsidR="00C9232E" w:rsidRPr="00AA7A47" w:rsidRDefault="00C9232E" w:rsidP="00C9232E">
      <w:pPr>
        <w:rPr>
          <w:rFonts w:eastAsia="Times New Roman" w:cs="Times New Roman"/>
          <w:noProof/>
          <w:color w:val="000000"/>
          <w:sz w:val="22"/>
        </w:rPr>
      </w:pPr>
    </w:p>
    <w:p w14:paraId="5830B03C"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final solution must meet AI ethics principles outlined by the Department of Defense (Responsible, Equitable, Traceable, Reliable, Governable) [Ref 7] and will meet Risk Management Framework, Cyber and Navy Marine Corp Internet (NMCI) guidance [Ref 6].</w:t>
      </w:r>
    </w:p>
    <w:p w14:paraId="5EE5D6B2" w14:textId="77777777" w:rsidR="00C9232E" w:rsidRPr="00AA7A47" w:rsidRDefault="00C9232E" w:rsidP="00C9232E">
      <w:pPr>
        <w:rPr>
          <w:rFonts w:eastAsia="Times New Roman" w:cs="Times New Roman"/>
          <w:noProof/>
          <w:color w:val="000000"/>
          <w:sz w:val="22"/>
        </w:rPr>
      </w:pPr>
    </w:p>
    <w:p w14:paraId="326A4FE5"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87C6E1" w14:textId="77777777" w:rsidR="00C9232E" w:rsidRPr="00AA7A47" w:rsidRDefault="00C9232E" w:rsidP="00C9232E">
      <w:pPr>
        <w:rPr>
          <w:rFonts w:eastAsia="Times New Roman" w:cs="Times New Roman"/>
          <w:color w:val="000000"/>
          <w:sz w:val="22"/>
        </w:rPr>
      </w:pPr>
    </w:p>
    <w:p w14:paraId="7AE5728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develop, and demonstrate feasibility of AI techniques, methods, and models, and determine the optimum approach for this topic. Demonstrate the feasibility of the proposed training capability within an undersea (or relevant) domain with publicly available training data. The early system should demonstrate a form of explainability and confidence values in outputs provided. Outline future concepts for the inclusion of self-tuning algorithm parameters. AI ethics principles outlined by the Department of Defense will be adhered to (Responsible, Equitable, Traceable, Reliable, Governable). The Phase I effort will include prototype plans to be developed under Phase II.</w:t>
      </w:r>
    </w:p>
    <w:p w14:paraId="4F67F8F1" w14:textId="77777777" w:rsidR="00C9232E" w:rsidRPr="00AA7A47" w:rsidRDefault="00C9232E" w:rsidP="00C9232E">
      <w:pPr>
        <w:rPr>
          <w:rFonts w:eastAsia="Times New Roman" w:cs="Times New Roman"/>
          <w:color w:val="000000"/>
          <w:sz w:val="22"/>
        </w:rPr>
      </w:pPr>
    </w:p>
    <w:p w14:paraId="62C6031A"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and prototype the proposed solution to integrate into a Navy ASW sample training environment. The prototype capability should ingest real-world training data. Demonstration of the prototype AI assistant, that has been trained with real-world data, providing explainable AI recommendations with confidence values to novice AWOs conducting training using low to medium fidelity training devices or simulators. Considerations of how the standalone training device may use continuous data from an operating environment to refine the algorithm’s parameters should be included in a Phase II demonstration. Continued adherence to AI ethics principles outlined by the Department of Defense will be required (Responsible, Equitable, Traceable, Reliable, Governable).</w:t>
      </w:r>
    </w:p>
    <w:p w14:paraId="6171D635"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6733A052" w14:textId="77777777" w:rsidR="00C9232E" w:rsidRPr="00AA7A47" w:rsidRDefault="00C9232E" w:rsidP="00C9232E">
      <w:pPr>
        <w:rPr>
          <w:rFonts w:eastAsia="Times New Roman" w:cs="Times New Roman"/>
          <w:color w:val="000000"/>
          <w:sz w:val="22"/>
        </w:rPr>
      </w:pPr>
    </w:p>
    <w:p w14:paraId="429A474D"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Refine the capability from the Phase II final demonstration and show consistent reliability in a known performance envelop. A Phase III capability must include and demonstrate a function to self-tune its own algorithm based on new data inputs. Integrate within current acoustic warfare operator training and go through verification and validation testing, as well as effectiveness and usability testing. Continue to adhere to AI ethics principles outlined by the Department of Defense (Responsible, Equitable, Traceable, Reliable, Governable). Contractors will harden the software architecture and implement Risk Management Framework guidelines to support IA compliance, including requirements to allow installation on SIPRNet or Navy Internet Protocol Networks (NIPRNet) if appropriate for transition path. The final capability will be required to exist in a representative training environment with all information assurance and cyber security requirement approvals. Final steps will investigate the level of effort required to convert the AI assistant to an operational assistant in the field.</w:t>
      </w:r>
    </w:p>
    <w:p w14:paraId="33AE22D3"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Developing AI decision-support tools is beneficial for a wide variety of domains and commercial industries. Techniques and procedures used to develop acoustic training may be immediately of use to other domains, such as oceanography and survey research organizations that study the world’s oceans and other bodies of water. Additionally, the technical approaches may be applicable to industries outside of pure acoustics, as the AI techniques that will be implemented will cater to somewhat fuzzy training data sets that may or may not be flush with data samples. As the topic may involve image recognition, as well as acoustic recognition algorithms, the results could also be applicable to areas involving surveillance and automatic image classification.</w:t>
      </w:r>
    </w:p>
    <w:p w14:paraId="3A7AC7ED" w14:textId="77777777" w:rsidR="00C9232E" w:rsidRPr="00AA7A47" w:rsidRDefault="00C9232E" w:rsidP="00C9232E">
      <w:pPr>
        <w:rPr>
          <w:rFonts w:eastAsia="Times New Roman" w:cs="Times New Roman"/>
          <w:color w:val="000000"/>
          <w:sz w:val="22"/>
        </w:rPr>
      </w:pPr>
    </w:p>
    <w:p w14:paraId="1354AFA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32E48539" w14:textId="70AC1D9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Russell, S. J. &amp; Norvig, P. “Artificial Intelligence: A Modern Approach.” Pearson Education Limited, 2016. </w:t>
      </w:r>
      <w:hyperlink r:id="rId32" w:history="1">
        <w:r w:rsidR="006668D3" w:rsidRPr="007743A7">
          <w:rPr>
            <w:rStyle w:val="Hyperlink"/>
            <w:rFonts w:eastAsia="Times New Roman" w:cs="Times New Roman"/>
            <w:noProof/>
            <w:sz w:val="22"/>
          </w:rPr>
          <w:t>https://www.amazon.com/Artificial-Intelligence-Modern-Approach-3rd/dp/0136042597</w:t>
        </w:r>
      </w:hyperlink>
      <w:r w:rsidR="006668D3">
        <w:rPr>
          <w:rFonts w:eastAsia="Times New Roman" w:cs="Times New Roman"/>
          <w:noProof/>
          <w:color w:val="000000"/>
          <w:sz w:val="22"/>
        </w:rPr>
        <w:t xml:space="preserve"> </w:t>
      </w:r>
    </w:p>
    <w:p w14:paraId="6049BABF" w14:textId="77777777" w:rsidR="00E35892" w:rsidRPr="00AA7A47" w:rsidRDefault="00E35892" w:rsidP="00C9232E">
      <w:pPr>
        <w:rPr>
          <w:rFonts w:eastAsia="Times New Roman" w:cs="Times New Roman"/>
          <w:noProof/>
          <w:color w:val="000000"/>
          <w:sz w:val="22"/>
        </w:rPr>
      </w:pPr>
    </w:p>
    <w:p w14:paraId="03D79B7A" w14:textId="2C00A06A"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Duda, R. O., Hart, P. E. &amp; Stork, D. G. “Pattern classification.” John Wiley &amp; Sons, November 9, 2012. </w:t>
      </w:r>
      <w:hyperlink r:id="rId33" w:history="1">
        <w:r w:rsidR="006668D3" w:rsidRPr="007743A7">
          <w:rPr>
            <w:rStyle w:val="Hyperlink"/>
            <w:rFonts w:eastAsia="Times New Roman" w:cs="Times New Roman"/>
            <w:noProof/>
            <w:sz w:val="22"/>
          </w:rPr>
          <w:t>https://books.google.com/books/about/Pattern_Classification.html?id=Br33IRC3PkQC</w:t>
        </w:r>
      </w:hyperlink>
      <w:r w:rsidR="006668D3">
        <w:rPr>
          <w:rFonts w:eastAsia="Times New Roman" w:cs="Times New Roman"/>
          <w:noProof/>
          <w:color w:val="000000"/>
          <w:sz w:val="22"/>
        </w:rPr>
        <w:t xml:space="preserve"> </w:t>
      </w:r>
    </w:p>
    <w:p w14:paraId="6F2383CF" w14:textId="77777777" w:rsidR="00E35892" w:rsidRPr="00AA7A47" w:rsidRDefault="00E35892" w:rsidP="00C9232E">
      <w:pPr>
        <w:rPr>
          <w:rFonts w:eastAsia="Times New Roman" w:cs="Times New Roman"/>
          <w:noProof/>
          <w:color w:val="000000"/>
          <w:sz w:val="22"/>
        </w:rPr>
      </w:pPr>
    </w:p>
    <w:p w14:paraId="6F692D16" w14:textId="66918BCA" w:rsidR="00E35892"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Goodfellow, I., Bengio, Y. &amp; Courville, A. “Deep learning.” MIT Press, 2016. </w:t>
      </w:r>
      <w:hyperlink r:id="rId34" w:history="1">
        <w:r w:rsidR="006668D3" w:rsidRPr="007743A7">
          <w:rPr>
            <w:rStyle w:val="Hyperlink"/>
            <w:rFonts w:eastAsia="Times New Roman" w:cs="Times New Roman"/>
            <w:noProof/>
            <w:sz w:val="22"/>
          </w:rPr>
          <w:t>https://mitpress.mit.edu/books/deep-learning</w:t>
        </w:r>
      </w:hyperlink>
      <w:r w:rsidR="006668D3">
        <w:rPr>
          <w:rFonts w:eastAsia="Times New Roman" w:cs="Times New Roman"/>
          <w:noProof/>
          <w:color w:val="000000"/>
          <w:sz w:val="22"/>
        </w:rPr>
        <w:t xml:space="preserve"> </w:t>
      </w:r>
    </w:p>
    <w:p w14:paraId="2707B482" w14:textId="77777777" w:rsidR="00E35892" w:rsidRPr="00AA7A47" w:rsidRDefault="00E35892" w:rsidP="00C9232E">
      <w:pPr>
        <w:rPr>
          <w:rFonts w:eastAsia="Times New Roman" w:cs="Times New Roman"/>
          <w:noProof/>
          <w:color w:val="000000"/>
          <w:sz w:val="22"/>
        </w:rPr>
      </w:pPr>
    </w:p>
    <w:p w14:paraId="01743A8A" w14:textId="625AEB6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National Science &amp; Technology Council, Artificial Intelligence Research &amp; Development Interagency Working Group, Subcommittee on Networking &amp; Information Technology Research &amp; Development, Subcommittee on Machine Learning &amp; Artificial Intelligence, and the Select Committee on Artificial Intelligence of the National Science &amp; Technology Council. “2016-2019 Progress Report: Advancing Artificial Intelligence R&amp;D.”  </w:t>
      </w:r>
      <w:hyperlink r:id="rId35" w:history="1">
        <w:r w:rsidR="006668D3" w:rsidRPr="007743A7">
          <w:rPr>
            <w:rStyle w:val="Hyperlink"/>
            <w:rFonts w:eastAsia="Times New Roman" w:cs="Times New Roman"/>
            <w:noProof/>
            <w:sz w:val="22"/>
          </w:rPr>
          <w:t>https://www.nitrd.gov/pubs/AI-Research-and-Development-Progress-Report-2016-2019.pdf</w:t>
        </w:r>
      </w:hyperlink>
      <w:r w:rsidR="006668D3">
        <w:rPr>
          <w:rFonts w:eastAsia="Times New Roman" w:cs="Times New Roman"/>
          <w:noProof/>
          <w:color w:val="000000"/>
          <w:sz w:val="22"/>
        </w:rPr>
        <w:t xml:space="preserve"> </w:t>
      </w:r>
    </w:p>
    <w:p w14:paraId="554B26D4" w14:textId="77777777" w:rsidR="00E35892" w:rsidRPr="00AA7A47" w:rsidRDefault="00E35892" w:rsidP="00C9232E">
      <w:pPr>
        <w:rPr>
          <w:rFonts w:eastAsia="Times New Roman" w:cs="Times New Roman"/>
          <w:noProof/>
          <w:color w:val="000000"/>
          <w:sz w:val="22"/>
        </w:rPr>
      </w:pPr>
    </w:p>
    <w:p w14:paraId="69EDFC4F" w14:textId="6FA44ADD" w:rsidR="00E35892"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Select Committee on Artificial Intelligence of the National Science &amp; Technology Council.  “The National Artificial Intelligence Research and Development Strategic Plan: 2019 Update.” </w:t>
      </w:r>
      <w:hyperlink r:id="rId36" w:history="1">
        <w:r w:rsidR="006668D3" w:rsidRPr="007743A7">
          <w:rPr>
            <w:rStyle w:val="Hyperlink"/>
            <w:rFonts w:eastAsia="Times New Roman" w:cs="Times New Roman"/>
            <w:noProof/>
            <w:sz w:val="22"/>
          </w:rPr>
          <w:t>https://www.nitrd.gov/pubs/National-AI-RD-Strategy-2019.pdf</w:t>
        </w:r>
      </w:hyperlink>
      <w:r w:rsidR="006668D3">
        <w:rPr>
          <w:rFonts w:eastAsia="Times New Roman" w:cs="Times New Roman"/>
          <w:noProof/>
          <w:color w:val="000000"/>
          <w:sz w:val="22"/>
        </w:rPr>
        <w:t xml:space="preserve"> </w:t>
      </w:r>
    </w:p>
    <w:p w14:paraId="1F1A7B85" w14:textId="77777777" w:rsidR="00E35892" w:rsidRPr="00AA7A47" w:rsidRDefault="00E35892" w:rsidP="00C9232E">
      <w:pPr>
        <w:rPr>
          <w:rFonts w:eastAsia="Times New Roman" w:cs="Times New Roman"/>
          <w:noProof/>
          <w:color w:val="000000"/>
          <w:sz w:val="22"/>
        </w:rPr>
      </w:pPr>
    </w:p>
    <w:p w14:paraId="62F681D8" w14:textId="3417307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“Risk Management Framework (RMF) Overview: </w:t>
      </w:r>
      <w:hyperlink r:id="rId37" w:history="1">
        <w:r w:rsidR="006668D3" w:rsidRPr="007743A7">
          <w:rPr>
            <w:rStyle w:val="Hyperlink"/>
            <w:rFonts w:eastAsia="Times New Roman" w:cs="Times New Roman"/>
            <w:noProof/>
            <w:sz w:val="22"/>
          </w:rPr>
          <w:t>https://csrc.nist.gov/projects/risk-management/risk-management-framework-(RMF)-Overview</w:t>
        </w:r>
      </w:hyperlink>
      <w:r w:rsidR="006668D3">
        <w:rPr>
          <w:rFonts w:eastAsia="Times New Roman" w:cs="Times New Roman"/>
          <w:noProof/>
          <w:color w:val="000000"/>
          <w:sz w:val="22"/>
        </w:rPr>
        <w:t xml:space="preserve"> </w:t>
      </w:r>
    </w:p>
    <w:p w14:paraId="38C1C090" w14:textId="77777777" w:rsidR="00E35892" w:rsidRPr="00AA7A47" w:rsidRDefault="00E35892" w:rsidP="00C9232E">
      <w:pPr>
        <w:rPr>
          <w:rFonts w:eastAsia="Times New Roman" w:cs="Times New Roman"/>
          <w:noProof/>
          <w:color w:val="000000"/>
          <w:sz w:val="22"/>
        </w:rPr>
      </w:pPr>
    </w:p>
    <w:p w14:paraId="25E020C6" w14:textId="791BA3C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7. “AI Principles: Recommendations on the Ethical Use of Artificial Intelligence by the Department of Defense.” Defense Innovation Board. </w:t>
      </w:r>
      <w:hyperlink r:id="rId38" w:history="1">
        <w:r w:rsidR="006668D3" w:rsidRPr="007743A7">
          <w:rPr>
            <w:rStyle w:val="Hyperlink"/>
            <w:rFonts w:eastAsia="Times New Roman" w:cs="Times New Roman"/>
            <w:noProof/>
            <w:sz w:val="22"/>
          </w:rPr>
          <w:t>https://media.defense.noclick_gov/2019/Oct/31/2002204458/-1/-1/0/DIB_AI_PRINCIPLES_PRIMARY_DOCUMENT.PDF</w:t>
        </w:r>
      </w:hyperlink>
      <w:r w:rsidR="006668D3">
        <w:rPr>
          <w:rFonts w:eastAsia="Times New Roman" w:cs="Times New Roman"/>
          <w:noProof/>
          <w:color w:val="000000"/>
          <w:sz w:val="22"/>
        </w:rPr>
        <w:t xml:space="preserve"> </w:t>
      </w:r>
    </w:p>
    <w:p w14:paraId="2256210D" w14:textId="77777777" w:rsidR="00C9232E" w:rsidRPr="00AA7A47" w:rsidRDefault="00C9232E" w:rsidP="00C9232E">
      <w:pPr>
        <w:rPr>
          <w:rFonts w:eastAsia="Times New Roman" w:cs="Times New Roman"/>
          <w:color w:val="000000"/>
          <w:sz w:val="22"/>
        </w:rPr>
      </w:pPr>
    </w:p>
    <w:p w14:paraId="5D3EB062" w14:textId="77777777" w:rsidR="00C9232E" w:rsidRPr="00AA7A47" w:rsidRDefault="00C9232E" w:rsidP="00C9232E">
      <w:pPr>
        <w:rPr>
          <w:rFonts w:eastAsia="Times New Roman" w:cs="Times New Roman"/>
          <w:color w:val="000000"/>
          <w:sz w:val="22"/>
        </w:rPr>
      </w:pPr>
    </w:p>
    <w:p w14:paraId="49019670"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AI, Artificial Intelligence, Anti-Submarine Warfare, ASW, Machine Learning, Decision-Support, Explainability</w:t>
      </w:r>
    </w:p>
    <w:p w14:paraId="5CF523AC" w14:textId="77777777" w:rsidR="00C9232E" w:rsidRPr="00AA7A47" w:rsidRDefault="00C9232E" w:rsidP="00C9232E">
      <w:pPr>
        <w:rPr>
          <w:rFonts w:eastAsia="Times New Roman" w:cs="Times New Roman"/>
          <w:color w:val="000000"/>
          <w:sz w:val="22"/>
        </w:rPr>
      </w:pPr>
    </w:p>
    <w:p w14:paraId="593BEA8F" w14:textId="77777777" w:rsidR="00C9232E" w:rsidRPr="00AA7A47" w:rsidRDefault="00C9232E" w:rsidP="00C9232E">
      <w:pPr>
        <w:tabs>
          <w:tab w:val="left" w:pos="1260"/>
        </w:tabs>
        <w:ind w:left="270"/>
        <w:rPr>
          <w:rFonts w:eastAsia="Times New Roman" w:cs="Times New Roman"/>
          <w:color w:val="000000"/>
          <w:sz w:val="22"/>
        </w:rPr>
      </w:pPr>
    </w:p>
    <w:p w14:paraId="6AA26177" w14:textId="77777777" w:rsidR="00C9232E" w:rsidRPr="00AA7A47" w:rsidRDefault="00C9232E" w:rsidP="00C9232E">
      <w:pPr>
        <w:tabs>
          <w:tab w:val="left" w:pos="1260"/>
        </w:tabs>
        <w:ind w:left="270"/>
        <w:rPr>
          <w:rFonts w:eastAsia="Times New Roman" w:cs="Times New Roman"/>
          <w:color w:val="000000"/>
          <w:sz w:val="22"/>
        </w:rPr>
      </w:pPr>
    </w:p>
    <w:p w14:paraId="7281F32F" w14:textId="77777777" w:rsidR="00C9232E" w:rsidRPr="00AA7A47" w:rsidRDefault="00C9232E" w:rsidP="00C9232E">
      <w:pPr>
        <w:rPr>
          <w:rFonts w:eastAsia="Times New Roman" w:cs="Times New Roman"/>
          <w:color w:val="000000"/>
          <w:sz w:val="22"/>
        </w:rPr>
      </w:pPr>
    </w:p>
    <w:p w14:paraId="7E5B53EC" w14:textId="77777777" w:rsidR="00C9232E" w:rsidRPr="00AA7A47" w:rsidRDefault="00C9232E" w:rsidP="00C9232E">
      <w:pPr>
        <w:rPr>
          <w:rFonts w:eastAsia="Times New Roman" w:cs="Times New Roman"/>
          <w:color w:val="000000"/>
          <w:sz w:val="22"/>
        </w:rPr>
      </w:pPr>
    </w:p>
    <w:p w14:paraId="10AF7CB3"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374F8B29"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N202-092</w:t>
      </w:r>
      <w:r w:rsidRPr="00AA7A47">
        <w:rPr>
          <w:rFonts w:eastAsia="Times New Roman" w:cs="Times New Roman"/>
          <w:color w:val="000000"/>
          <w:sz w:val="22"/>
        </w:rPr>
        <w:tab/>
        <w:t xml:space="preserve">TITLE: </w:t>
      </w:r>
      <w:r w:rsidRPr="00AA7A47">
        <w:rPr>
          <w:rFonts w:eastAsia="Times New Roman" w:cs="Times New Roman"/>
          <w:noProof/>
          <w:color w:val="000000"/>
          <w:sz w:val="22"/>
        </w:rPr>
        <w:t>Small Space, Weight, and Power (SWaP) Multilevel Security Cross-Domain Solution</w:t>
      </w:r>
    </w:p>
    <w:p w14:paraId="019A7D37" w14:textId="77777777" w:rsidR="00C9232E" w:rsidRPr="00AA7A47" w:rsidRDefault="00C9232E" w:rsidP="00C9232E">
      <w:pPr>
        <w:rPr>
          <w:rFonts w:eastAsia="Times New Roman" w:cs="Times New Roman"/>
          <w:color w:val="000000"/>
          <w:sz w:val="22"/>
        </w:rPr>
      </w:pPr>
    </w:p>
    <w:p w14:paraId="1EC247E0"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1E4C2C41"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Information Systems, Battlespace</w:t>
      </w:r>
    </w:p>
    <w:p w14:paraId="6B4A6A5A" w14:textId="77777777" w:rsidR="00C9232E" w:rsidRPr="00AA7A47" w:rsidRDefault="00C9232E" w:rsidP="00C9232E">
      <w:pPr>
        <w:rPr>
          <w:rFonts w:eastAsia="Times New Roman" w:cs="Times New Roman"/>
          <w:color w:val="000000"/>
          <w:sz w:val="22"/>
        </w:rPr>
      </w:pPr>
    </w:p>
    <w:p w14:paraId="20DEF1C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3ED15F6" w14:textId="77777777" w:rsidR="00C9232E" w:rsidRPr="00AA7A47" w:rsidRDefault="00C9232E" w:rsidP="00C9232E">
      <w:pPr>
        <w:rPr>
          <w:rFonts w:eastAsia="Times New Roman" w:cs="Times New Roman"/>
          <w:color w:val="000000"/>
          <w:sz w:val="22"/>
        </w:rPr>
      </w:pPr>
    </w:p>
    <w:p w14:paraId="5970559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small form factor, integrated, multi-level security, cross-domain solution.</w:t>
      </w:r>
    </w:p>
    <w:p w14:paraId="45901F74" w14:textId="77777777" w:rsidR="00C9232E" w:rsidRPr="00AA7A47" w:rsidRDefault="00C9232E" w:rsidP="00C9232E">
      <w:pPr>
        <w:rPr>
          <w:rFonts w:eastAsia="Times New Roman" w:cs="Times New Roman"/>
          <w:color w:val="000000"/>
          <w:sz w:val="22"/>
        </w:rPr>
      </w:pPr>
    </w:p>
    <w:p w14:paraId="45137550"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The Navy's integrated warfighting strategy, driven by advancing adversaries, calls for high levels of interoperability while at the same time maintaining the highest level of cybersecurity protection. Multiple security enclaves within a platform are becoming commonplace across the Navy, but no common solution exists. Along with coordination of systems and sensors within a platform, datalinks between similar and dissimilar aircraft are critical to success for the future of the Navy. Due to the current security posture across the Department of Defense (DoD), data of different security levels are often unable to be integrated, limiting warfighters’ ability to make tactical decisions. The development and fielding of a small form factor, integrated, multi-level security, cross-domain solution able to be tailored to a platform's need while maintaining a set of common standards would save each program from redundant development [Refs 1, 2]. Each Naval program will have their independent needs for number of domains, required classification levels, and SWaP constraints, but at a minimum, the developed technology must meet the following requirements:</w:t>
      </w:r>
    </w:p>
    <w:p w14:paraId="1688658B" w14:textId="77777777" w:rsidR="00C9232E" w:rsidRPr="00AA7A47" w:rsidRDefault="00C9232E" w:rsidP="00C9232E">
      <w:pPr>
        <w:rPr>
          <w:rFonts w:eastAsia="Times New Roman" w:cs="Times New Roman"/>
          <w:noProof/>
          <w:color w:val="000000"/>
          <w:sz w:val="22"/>
        </w:rPr>
      </w:pPr>
    </w:p>
    <w:p w14:paraId="09AC330E"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Demonstrate concurrent operation across four distinct security domains.</w:t>
      </w:r>
    </w:p>
    <w:p w14:paraId="2E2F6459"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Operator interface with access to all security levels.</w:t>
      </w:r>
    </w:p>
    <w:p w14:paraId="6B297003"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Develop rulesets to control data flows within, in, and out of the system.</w:t>
      </w:r>
    </w:p>
    <w:p w14:paraId="2FBB2072"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Send and receive data across each domain while ensuring no spillage to unapproved domains with Government designated simulation environment.</w:t>
      </w:r>
    </w:p>
    <w:p w14:paraId="38D88AE8"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In-flight demonstration of technology with similar and dissimilar aircraft in Government-designated scenario.</w:t>
      </w:r>
    </w:p>
    <w:p w14:paraId="6655C9C9"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Process DoD classified data at all levels of classification.</w:t>
      </w:r>
    </w:p>
    <w:p w14:paraId="042B0641"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Plan for National Security Agency (NSA) approval as a cryptologic device [Refs 3, 4].</w:t>
      </w:r>
    </w:p>
    <w:p w14:paraId="019BA41D"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 xml:space="preserve">Maximum physical size of 1” x 4” x 6” per security domain. </w:t>
      </w:r>
    </w:p>
    <w:p w14:paraId="4AF39E5D"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Maximum weight of 8 ounces per security domain.</w:t>
      </w:r>
    </w:p>
    <w:p w14:paraId="7F0F279B"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Operate via aircraft power at 28VDC or 400Hz AC.</w:t>
      </w:r>
    </w:p>
    <w:p w14:paraId="036F581A" w14:textId="77777777" w:rsidR="00C9232E" w:rsidRPr="00AA7A47" w:rsidRDefault="00C9232E" w:rsidP="00C34768">
      <w:pPr>
        <w:pStyle w:val="ListParagraph"/>
        <w:numPr>
          <w:ilvl w:val="0"/>
          <w:numId w:val="7"/>
        </w:numPr>
        <w:rPr>
          <w:noProof/>
          <w:color w:val="000000"/>
          <w:sz w:val="22"/>
          <w:szCs w:val="22"/>
        </w:rPr>
      </w:pPr>
      <w:r w:rsidRPr="00AA7A47">
        <w:rPr>
          <w:noProof/>
          <w:color w:val="000000"/>
          <w:sz w:val="22"/>
          <w:szCs w:val="22"/>
        </w:rPr>
        <w:t>MIL-STD 810H [Ref 5] for environmental effects.</w:t>
      </w:r>
    </w:p>
    <w:p w14:paraId="61939B69" w14:textId="77777777" w:rsidR="00C9232E" w:rsidRPr="00AA7A47" w:rsidRDefault="00C9232E" w:rsidP="00C9232E">
      <w:pPr>
        <w:rPr>
          <w:rFonts w:eastAsia="Times New Roman" w:cs="Times New Roman"/>
          <w:noProof/>
          <w:color w:val="000000"/>
          <w:sz w:val="22"/>
        </w:rPr>
      </w:pPr>
    </w:p>
    <w:p w14:paraId="76BDED4C"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Without a common solution and coordination of system architecture design, the Navy is at risk of stove piped solutions that would require complete redesign when asked to fight together.</w:t>
      </w:r>
    </w:p>
    <w:p w14:paraId="6F457ADC" w14:textId="77777777" w:rsidR="00C9232E" w:rsidRPr="00AA7A47" w:rsidRDefault="00C9232E" w:rsidP="00C9232E">
      <w:pPr>
        <w:rPr>
          <w:rFonts w:eastAsia="Times New Roman" w:cs="Times New Roman"/>
          <w:noProof/>
          <w:color w:val="000000"/>
          <w:sz w:val="22"/>
        </w:rPr>
      </w:pPr>
    </w:p>
    <w:p w14:paraId="57874CAC"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w:t>
      </w:r>
      <w:r w:rsidRPr="00AA7A47">
        <w:rPr>
          <w:rFonts w:eastAsia="Times New Roman" w:cs="Times New Roman"/>
          <w:noProof/>
          <w:color w:val="000000"/>
          <w:sz w:val="22"/>
        </w:rPr>
        <w:lastRenderedPageBreak/>
        <w:t>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C953AF9" w14:textId="77777777" w:rsidR="00C9232E" w:rsidRPr="00AA7A47" w:rsidRDefault="00C9232E" w:rsidP="00C9232E">
      <w:pPr>
        <w:rPr>
          <w:rFonts w:eastAsia="Times New Roman" w:cs="Times New Roman"/>
          <w:color w:val="000000"/>
          <w:sz w:val="22"/>
        </w:rPr>
      </w:pPr>
    </w:p>
    <w:p w14:paraId="0404502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demonstrate feasibility of a flyable routing solution scalable to various platform configurations with a cross-domain solution addressing multiple security levels. Develop a draft architecture and plan for attaining NSA approval for cryptologic systems. The Phase I effort will include prototype plans to be developed under Phase II.</w:t>
      </w:r>
    </w:p>
    <w:p w14:paraId="3483BF03" w14:textId="77777777" w:rsidR="00C9232E" w:rsidRPr="00AA7A47" w:rsidRDefault="00C9232E" w:rsidP="00C9232E">
      <w:pPr>
        <w:rPr>
          <w:rFonts w:eastAsia="Times New Roman" w:cs="Times New Roman"/>
          <w:color w:val="000000"/>
          <w:sz w:val="22"/>
        </w:rPr>
      </w:pPr>
    </w:p>
    <w:p w14:paraId="3D439D9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Further design and develop the solution identified in Phase I into a prototype. In conjunction with the Government, develop simulated data and then use that data to demonstrate the prototype. Develop an unclassified set of controls to handle organic and off-board classified data types provided by the Government. Initiate process of attaining NSA approval for designed hardware and software. </w:t>
      </w:r>
    </w:p>
    <w:p w14:paraId="6600CED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480B0D87" w14:textId="77777777" w:rsidR="00C9232E" w:rsidRPr="00AA7A47" w:rsidRDefault="00C9232E" w:rsidP="00C9232E">
      <w:pPr>
        <w:rPr>
          <w:rFonts w:eastAsia="Times New Roman" w:cs="Times New Roman"/>
          <w:color w:val="000000"/>
          <w:sz w:val="22"/>
        </w:rPr>
      </w:pPr>
    </w:p>
    <w:p w14:paraId="6B12D99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Complete development of the cross-domain control measures and perform final testing in a Government-designated simulation environment. After identifying specific data types and classifications of airborne system data, demonstrate a fully capable multi-level security cross-domain solution in a live fly event. Continue work with the Government sponsor to gain NSA approval for provided approach and transition to applications across Naval airborne platforms.</w:t>
      </w:r>
    </w:p>
    <w:p w14:paraId="4D319499" w14:textId="77777777" w:rsidR="00C9232E" w:rsidRPr="00AA7A47" w:rsidRDefault="00C9232E" w:rsidP="00C9232E">
      <w:pPr>
        <w:rPr>
          <w:rFonts w:eastAsia="Times New Roman" w:cs="Times New Roman"/>
          <w:noProof/>
          <w:color w:val="000000"/>
          <w:sz w:val="22"/>
        </w:rPr>
      </w:pPr>
    </w:p>
    <w:p w14:paraId="021E946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control measures and techniques employed may benefit companies seeking to protect proprietary data while working with other organizations. This technology will apply beyond the contractors supporting the DoD. Medical, financial, and civilian electronics industries will benefit from a technology that allows networking with competitors for collaboration while preventing proprietary or personal data from spillage onto an improper domain.</w:t>
      </w:r>
    </w:p>
    <w:p w14:paraId="6A307063" w14:textId="77777777" w:rsidR="00C9232E" w:rsidRPr="00AA7A47" w:rsidRDefault="00C9232E" w:rsidP="00C9232E">
      <w:pPr>
        <w:rPr>
          <w:rFonts w:eastAsia="Times New Roman" w:cs="Times New Roman"/>
          <w:color w:val="000000"/>
          <w:sz w:val="22"/>
        </w:rPr>
      </w:pPr>
    </w:p>
    <w:p w14:paraId="5F54638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437C040B" w14:textId="760A666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Koelsch, Col. B. F. “Solving the Cross Domain Conundrum.” US Army War College, Strategy Research Project  2013. </w:t>
      </w:r>
      <w:hyperlink r:id="rId39" w:history="1">
        <w:r w:rsidR="007049FD" w:rsidRPr="007743A7">
          <w:rPr>
            <w:rStyle w:val="Hyperlink"/>
            <w:rFonts w:eastAsia="Times New Roman" w:cs="Times New Roman"/>
            <w:noProof/>
            <w:sz w:val="22"/>
          </w:rPr>
          <w:t>https://pdfs.semanticscholar.org/26b3/0eab984c8c5c31e9a18e75b4ac4c52b1c14c.pdf</w:t>
        </w:r>
      </w:hyperlink>
      <w:r w:rsidR="007049FD">
        <w:rPr>
          <w:rFonts w:eastAsia="Times New Roman" w:cs="Times New Roman"/>
          <w:noProof/>
          <w:color w:val="000000"/>
          <w:sz w:val="22"/>
        </w:rPr>
        <w:t xml:space="preserve"> </w:t>
      </w:r>
    </w:p>
    <w:p w14:paraId="091E62FA" w14:textId="77777777" w:rsidR="00063932" w:rsidRDefault="00063932" w:rsidP="00C9232E">
      <w:pPr>
        <w:rPr>
          <w:rFonts w:eastAsia="Times New Roman" w:cs="Times New Roman"/>
          <w:noProof/>
          <w:color w:val="000000"/>
          <w:sz w:val="22"/>
        </w:rPr>
      </w:pPr>
    </w:p>
    <w:p w14:paraId="07B40273" w14:textId="1FAD1C6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US Joint Staff. “Cross-Domain Synergy in Joint Operations, Planners Guide, January 2016.”  </w:t>
      </w:r>
      <w:hyperlink r:id="rId40" w:history="1">
        <w:r w:rsidR="007049FD" w:rsidRPr="007743A7">
          <w:rPr>
            <w:rStyle w:val="Hyperlink"/>
            <w:rFonts w:eastAsia="Times New Roman" w:cs="Times New Roman"/>
            <w:noProof/>
            <w:sz w:val="22"/>
          </w:rPr>
          <w:t>https://www.jcs.mil/Portals/36/Documents/Doctrine/concepts/cross_domain_planning_guide.pdf?ver=2017-12-28-161956-230</w:t>
        </w:r>
      </w:hyperlink>
      <w:r w:rsidR="007049FD">
        <w:rPr>
          <w:rFonts w:eastAsia="Times New Roman" w:cs="Times New Roman"/>
          <w:noProof/>
          <w:color w:val="000000"/>
          <w:sz w:val="22"/>
        </w:rPr>
        <w:t xml:space="preserve"> </w:t>
      </w:r>
    </w:p>
    <w:p w14:paraId="0B8CB57F" w14:textId="77777777" w:rsidR="004E04F9" w:rsidRDefault="004E04F9" w:rsidP="00C9232E">
      <w:pPr>
        <w:rPr>
          <w:rFonts w:eastAsia="Times New Roman" w:cs="Times New Roman"/>
          <w:noProof/>
          <w:color w:val="000000"/>
          <w:sz w:val="22"/>
        </w:rPr>
      </w:pPr>
    </w:p>
    <w:p w14:paraId="2A5FFB02" w14:textId="7DCF471C" w:rsidR="004E04F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National Security Agency/ Central Security Service. “Information Assurance Capabilities, Data at Rest Capability Package, Version 4.0. January 2018.” </w:t>
      </w:r>
      <w:hyperlink r:id="rId41" w:history="1">
        <w:r w:rsidR="007049FD" w:rsidRPr="007743A7">
          <w:rPr>
            <w:rStyle w:val="Hyperlink"/>
            <w:rFonts w:eastAsia="Times New Roman" w:cs="Times New Roman"/>
            <w:noProof/>
            <w:sz w:val="22"/>
          </w:rPr>
          <w:t>https://www.nsa.gov/Portals/70/documents/resources/everyone/csfc/capability-packages/dar-cp.pdf</w:t>
        </w:r>
      </w:hyperlink>
      <w:r w:rsidR="007049FD">
        <w:rPr>
          <w:rFonts w:eastAsia="Times New Roman" w:cs="Times New Roman"/>
          <w:noProof/>
          <w:color w:val="000000"/>
          <w:sz w:val="22"/>
        </w:rPr>
        <w:t xml:space="preserve"> </w:t>
      </w:r>
    </w:p>
    <w:p w14:paraId="24505571" w14:textId="77777777" w:rsidR="004E04F9" w:rsidRDefault="004E04F9" w:rsidP="00C9232E">
      <w:pPr>
        <w:rPr>
          <w:rFonts w:eastAsia="Times New Roman" w:cs="Times New Roman"/>
          <w:noProof/>
          <w:color w:val="000000"/>
          <w:sz w:val="22"/>
        </w:rPr>
      </w:pPr>
    </w:p>
    <w:p w14:paraId="1FCEB133" w14:textId="4E78C66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National Security Agency/ Central Security Service. “Information Assurance Capabilities, Commercial Solutions for Classified, Harnessing the Power of Commercial Industry,,September 2018. </w:t>
      </w:r>
      <w:hyperlink r:id="rId42" w:history="1">
        <w:r w:rsidR="007049FD" w:rsidRPr="007743A7">
          <w:rPr>
            <w:rStyle w:val="Hyperlink"/>
            <w:rFonts w:eastAsia="Times New Roman" w:cs="Times New Roman"/>
            <w:noProof/>
            <w:sz w:val="22"/>
          </w:rPr>
          <w:t>https://www.nsa.gov/Portals/70/documents/resources/everyone/csfc/csfc-faqs.pdf</w:t>
        </w:r>
      </w:hyperlink>
      <w:r w:rsidR="007049FD">
        <w:rPr>
          <w:rFonts w:eastAsia="Times New Roman" w:cs="Times New Roman"/>
          <w:noProof/>
          <w:color w:val="000000"/>
          <w:sz w:val="22"/>
        </w:rPr>
        <w:t xml:space="preserve"> </w:t>
      </w:r>
    </w:p>
    <w:p w14:paraId="39F1895E" w14:textId="77777777" w:rsidR="004E04F9" w:rsidRDefault="004E04F9" w:rsidP="00C9232E">
      <w:pPr>
        <w:rPr>
          <w:rFonts w:eastAsia="Times New Roman" w:cs="Times New Roman"/>
          <w:noProof/>
          <w:color w:val="000000"/>
          <w:sz w:val="22"/>
        </w:rPr>
      </w:pPr>
    </w:p>
    <w:p w14:paraId="5770A693" w14:textId="5B6A98A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MIL-STD-810H, DEPARTMENT OF DEFENSE TEST METHOD STANDARD: ENVIRONMENTAL ENGINEERING CONSIDERATIONS AND LABORATORY TESTS (31-JAN-2019). </w:t>
      </w:r>
      <w:hyperlink r:id="rId43" w:history="1">
        <w:r w:rsidR="007049FD" w:rsidRPr="007743A7">
          <w:rPr>
            <w:rStyle w:val="Hyperlink"/>
            <w:rFonts w:eastAsia="Times New Roman" w:cs="Times New Roman"/>
            <w:noProof/>
            <w:sz w:val="22"/>
          </w:rPr>
          <w:t>http://everyspec.com/MIL-STD/MIL-STD-0800-0899/MIL-STD-810H_55998/</w:t>
        </w:r>
      </w:hyperlink>
      <w:r w:rsidR="007049FD">
        <w:rPr>
          <w:rFonts w:eastAsia="Times New Roman" w:cs="Times New Roman"/>
          <w:noProof/>
          <w:color w:val="000000"/>
          <w:sz w:val="22"/>
        </w:rPr>
        <w:t xml:space="preserve"> </w:t>
      </w:r>
    </w:p>
    <w:p w14:paraId="17B34652" w14:textId="77777777" w:rsidR="00C9232E" w:rsidRPr="00AA7A47" w:rsidRDefault="00C9232E" w:rsidP="00C9232E">
      <w:pPr>
        <w:rPr>
          <w:rFonts w:eastAsia="Times New Roman" w:cs="Times New Roman"/>
          <w:color w:val="000000"/>
          <w:sz w:val="22"/>
        </w:rPr>
      </w:pPr>
    </w:p>
    <w:p w14:paraId="539D875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 xml:space="preserve">KEYWORDS: </w:t>
      </w:r>
      <w:r w:rsidRPr="00AA7A47">
        <w:rPr>
          <w:rFonts w:eastAsia="Times New Roman" w:cs="Times New Roman"/>
          <w:noProof/>
          <w:color w:val="000000"/>
          <w:sz w:val="22"/>
        </w:rPr>
        <w:t>Multi-level Security, Cross-domain Solution, Data Sorting, Adaptive, Small Form-factor, Modular</w:t>
      </w:r>
    </w:p>
    <w:p w14:paraId="5D5ED0E0" w14:textId="77777777" w:rsidR="00C9232E" w:rsidRPr="00AA7A47" w:rsidRDefault="00C9232E" w:rsidP="00C9232E">
      <w:pPr>
        <w:rPr>
          <w:rFonts w:eastAsia="Times New Roman" w:cs="Times New Roman"/>
          <w:color w:val="000000"/>
          <w:sz w:val="22"/>
        </w:rPr>
      </w:pPr>
    </w:p>
    <w:p w14:paraId="43EA4426" w14:textId="77777777" w:rsidR="00C9232E" w:rsidRPr="00AA7A47" w:rsidRDefault="00C9232E" w:rsidP="00C9232E">
      <w:pPr>
        <w:tabs>
          <w:tab w:val="left" w:pos="1260"/>
        </w:tabs>
        <w:ind w:left="270"/>
        <w:rPr>
          <w:rFonts w:eastAsia="Times New Roman" w:cs="Times New Roman"/>
          <w:color w:val="000000"/>
          <w:sz w:val="22"/>
        </w:rPr>
      </w:pPr>
    </w:p>
    <w:p w14:paraId="0D453874" w14:textId="77777777" w:rsidR="00C9232E" w:rsidRPr="00AA7A47" w:rsidRDefault="00C9232E" w:rsidP="00C9232E">
      <w:pPr>
        <w:tabs>
          <w:tab w:val="left" w:pos="1260"/>
        </w:tabs>
        <w:ind w:left="270"/>
        <w:rPr>
          <w:rFonts w:eastAsia="Times New Roman" w:cs="Times New Roman"/>
          <w:color w:val="000000"/>
          <w:sz w:val="22"/>
        </w:rPr>
      </w:pPr>
    </w:p>
    <w:p w14:paraId="33937B08" w14:textId="77777777" w:rsidR="00C9232E" w:rsidRPr="00AA7A47" w:rsidRDefault="00C9232E" w:rsidP="00C9232E">
      <w:pPr>
        <w:tabs>
          <w:tab w:val="left" w:pos="1260"/>
        </w:tabs>
        <w:ind w:left="270"/>
        <w:rPr>
          <w:rFonts w:eastAsia="Times New Roman" w:cs="Times New Roman"/>
          <w:color w:val="000000"/>
          <w:sz w:val="22"/>
        </w:rPr>
      </w:pPr>
    </w:p>
    <w:p w14:paraId="3BE3A0EC" w14:textId="77777777" w:rsidR="00C9232E" w:rsidRPr="00AA7A47" w:rsidRDefault="00C9232E" w:rsidP="00C9232E">
      <w:pPr>
        <w:rPr>
          <w:rFonts w:eastAsia="Times New Roman" w:cs="Times New Roman"/>
          <w:color w:val="000000"/>
          <w:sz w:val="22"/>
        </w:rPr>
      </w:pPr>
    </w:p>
    <w:p w14:paraId="26A14E5C" w14:textId="77777777" w:rsidR="00C9232E" w:rsidRPr="00AA7A47" w:rsidRDefault="00C9232E" w:rsidP="00C9232E">
      <w:pPr>
        <w:rPr>
          <w:rFonts w:eastAsia="Times New Roman" w:cs="Times New Roman"/>
          <w:color w:val="000000"/>
          <w:sz w:val="22"/>
        </w:rPr>
      </w:pPr>
    </w:p>
    <w:p w14:paraId="1547E3FC"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0201F5BF"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N202-093</w:t>
      </w:r>
      <w:r w:rsidRPr="00AA7A47">
        <w:rPr>
          <w:rFonts w:eastAsia="Times New Roman" w:cs="Times New Roman"/>
          <w:color w:val="000000"/>
          <w:sz w:val="22"/>
        </w:rPr>
        <w:tab/>
        <w:t xml:space="preserve">TITLE: </w:t>
      </w:r>
      <w:r w:rsidRPr="00AA7A47">
        <w:rPr>
          <w:rFonts w:eastAsia="Times New Roman" w:cs="Times New Roman"/>
          <w:noProof/>
          <w:color w:val="000000"/>
          <w:sz w:val="22"/>
        </w:rPr>
        <w:t>Physical Measurement of Corrosion and Wear Damage on Splined Surfaces</w:t>
      </w:r>
    </w:p>
    <w:p w14:paraId="203D4089" w14:textId="77777777" w:rsidR="00C9232E" w:rsidRPr="00AA7A47" w:rsidRDefault="00C9232E" w:rsidP="00C9232E">
      <w:pPr>
        <w:rPr>
          <w:rFonts w:eastAsia="Times New Roman" w:cs="Times New Roman"/>
          <w:color w:val="000000"/>
          <w:sz w:val="22"/>
        </w:rPr>
      </w:pPr>
    </w:p>
    <w:p w14:paraId="68E1785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2CD1ED9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Materials</w:t>
      </w:r>
    </w:p>
    <w:p w14:paraId="0C952AE7" w14:textId="77777777" w:rsidR="00C9232E" w:rsidRPr="00AA7A47" w:rsidRDefault="00C9232E" w:rsidP="00C9232E">
      <w:pPr>
        <w:rPr>
          <w:rFonts w:eastAsia="Times New Roman" w:cs="Times New Roman"/>
          <w:color w:val="000000"/>
          <w:sz w:val="22"/>
        </w:rPr>
      </w:pPr>
    </w:p>
    <w:p w14:paraId="519BA05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an innovative measurement system capable of quantifying depth of corrosion and wear damage on rotor mast splines (located on the gearbox output driveshaft) to quantify the depth of damage present prior to repair effort to justify repair decision and quantify the depth of material removal during repair/final surface profile to support the justification of the mast’s continued use.</w:t>
      </w:r>
    </w:p>
    <w:p w14:paraId="5A63A4FD" w14:textId="77777777" w:rsidR="00C9232E" w:rsidRPr="00AA7A47" w:rsidRDefault="00C9232E" w:rsidP="00C9232E">
      <w:pPr>
        <w:rPr>
          <w:rFonts w:eastAsia="Times New Roman" w:cs="Times New Roman"/>
          <w:color w:val="000000"/>
          <w:sz w:val="22"/>
        </w:rPr>
      </w:pPr>
    </w:p>
    <w:p w14:paraId="3BBD674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There is currently a need for a measurement device to identify the extent of, and depth of, corrosion present in and around mast splines. Surface corrosion and pitting damage on the V-22 Proprotor Gearbox (PRGB) mast splines result in removal of the PRGB from the aircraft. The mast has three splined areas external to the PRGB. Current damage tolerances of 0.0005 inches allow for minimal material removal in the splined areas of the mast. Current measurement tooling is limited to C-micrometer for mast diameter dimension-over-pins measurement and a ball scribe/surface defect probe for determining depth of damage on mast splines. The geometry of the mast splines precludes use of other standard measurement processes (i.e., depth micrometers). Initial damage inspection does not currently measure accurately the depth of damage. After damage is removed dimension of pins is used to confirm that enough material remains on the mast. If measurement is below allowable limits, the PRGB is removed resulting in replacement and repair cost of approximately $8.5K including travel costs. </w:t>
      </w:r>
    </w:p>
    <w:p w14:paraId="6C2F37A6" w14:textId="77777777" w:rsidR="00C9232E" w:rsidRPr="00AA7A47" w:rsidRDefault="00C9232E" w:rsidP="00C9232E">
      <w:pPr>
        <w:rPr>
          <w:rFonts w:eastAsia="Times New Roman" w:cs="Times New Roman"/>
          <w:noProof/>
          <w:color w:val="000000"/>
          <w:sz w:val="22"/>
        </w:rPr>
      </w:pPr>
    </w:p>
    <w:p w14:paraId="6A76D1F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Two types of measurements are necessary to evaluate and repair mast spline damage. First, existing corrosion/wear damage must be quantified to determine feasibility of repair within damage limits. Second, the material condition of mast (surface profile) after repair must be measured to ensure the repair did not exceed limits. The proposed system must allow for damage depth measurement with a tolerance of 0.0005 inches while mast is installed in the PRGB on the aircraft wing.</w:t>
      </w:r>
    </w:p>
    <w:p w14:paraId="6B62CC52" w14:textId="77777777" w:rsidR="00C9232E" w:rsidRPr="00AA7A47" w:rsidRDefault="00C9232E" w:rsidP="00C9232E">
      <w:pPr>
        <w:rPr>
          <w:rFonts w:eastAsia="Times New Roman" w:cs="Times New Roman"/>
          <w:noProof/>
          <w:color w:val="000000"/>
          <w:sz w:val="22"/>
        </w:rPr>
      </w:pPr>
    </w:p>
    <w:p w14:paraId="484557D4"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mast material, Cadmium Plated, per SAE AMS-QQ-P-416 [Ref 3], Type II, Class 2, is 4340 stainless steel. The spline geometry can be found in ANSI B92.1-1996 [Ref 1]. The mast has three splined surfaces, two of which have the same geometry. Spline A (upper mast spline) is an external involute, fillet root, side fit spline with 56 teeth, a pitch of 10/20 and pressure angle of 30 degrees. Splines B and C (center mast splines) are also external involute, fillet root, side fit splines with 104 spline teeth, a 16/32 pitch and pressure angle of 30 degrees.</w:t>
      </w:r>
    </w:p>
    <w:p w14:paraId="27474B8A" w14:textId="77777777" w:rsidR="00C9232E" w:rsidRPr="00AA7A47" w:rsidRDefault="00C9232E" w:rsidP="00C9232E">
      <w:pPr>
        <w:rPr>
          <w:rFonts w:eastAsia="Times New Roman" w:cs="Times New Roman"/>
          <w:color w:val="000000"/>
          <w:sz w:val="22"/>
        </w:rPr>
      </w:pPr>
    </w:p>
    <w:p w14:paraId="7529B9B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develop, and perform a concept demonstration of a technology that can determine damage depth on spline tooth-face representative of mast geometry for all three splined areas of mast. The Phase I effort will include prototype plans to be developed under Phase II.</w:t>
      </w:r>
    </w:p>
    <w:p w14:paraId="5CC64705" w14:textId="77777777" w:rsidR="00C9232E" w:rsidRPr="00AA7A47" w:rsidRDefault="00C9232E" w:rsidP="00C9232E">
      <w:pPr>
        <w:rPr>
          <w:rFonts w:eastAsia="Times New Roman" w:cs="Times New Roman"/>
          <w:color w:val="000000"/>
          <w:sz w:val="22"/>
        </w:rPr>
      </w:pPr>
    </w:p>
    <w:p w14:paraId="3D9F64C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Further develop and demonstrate a prototype of the technology under operational conditions. Verify and validate measurement of spline damage, both pre- and post-repair, on a mast-installed on-wing.</w:t>
      </w:r>
    </w:p>
    <w:p w14:paraId="26EB1272" w14:textId="77777777" w:rsidR="00C9232E" w:rsidRPr="00AA7A47" w:rsidRDefault="00C9232E" w:rsidP="00C9232E">
      <w:pPr>
        <w:rPr>
          <w:rFonts w:eastAsia="Times New Roman" w:cs="Times New Roman"/>
          <w:color w:val="000000"/>
          <w:sz w:val="22"/>
        </w:rPr>
      </w:pPr>
    </w:p>
    <w:p w14:paraId="232F7090"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Perform final testing and integrate the developed technology into platform Planned Maintenance Interval (PMI) lines. Document the appropriate level of maintenance (organizational or intermediate) depending on the complexity of the system.</w:t>
      </w:r>
    </w:p>
    <w:p w14:paraId="6DFE1349" w14:textId="77777777" w:rsidR="00C9232E" w:rsidRPr="00AA7A47" w:rsidRDefault="00C9232E" w:rsidP="00C9232E">
      <w:pPr>
        <w:rPr>
          <w:rFonts w:eastAsia="Times New Roman" w:cs="Times New Roman"/>
          <w:noProof/>
          <w:color w:val="000000"/>
          <w:sz w:val="22"/>
        </w:rPr>
      </w:pPr>
    </w:p>
    <w:p w14:paraId="4736C298"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This technology could be useful for all other vertical lift application with mast corrosion issues. Successful development could have application with commercial variants of the H-1 (Bell 204 and 205) as well as the Leonardo AW609. Additionally, the offshore helicopter industry has constant exposure to corrosive saltwater environments that drive the need for increased inspections.</w:t>
      </w:r>
    </w:p>
    <w:p w14:paraId="1AD40A6D" w14:textId="77777777" w:rsidR="00C9232E" w:rsidRPr="00AA7A47" w:rsidRDefault="00C9232E" w:rsidP="00C9232E">
      <w:pPr>
        <w:rPr>
          <w:rFonts w:eastAsia="Times New Roman" w:cs="Times New Roman"/>
          <w:color w:val="000000"/>
          <w:sz w:val="22"/>
        </w:rPr>
      </w:pPr>
    </w:p>
    <w:p w14:paraId="53A0BCD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58790AEC" w14:textId="08E940B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“Involute Splines and Inspection (ANSI B92.1-1996).” American National Standards Institute, 1996.  </w:t>
      </w:r>
      <w:hyperlink r:id="rId44" w:history="1">
        <w:r w:rsidR="00870FA1" w:rsidRPr="007743A7">
          <w:rPr>
            <w:rStyle w:val="Hyperlink"/>
            <w:rFonts w:eastAsia="Times New Roman" w:cs="Times New Roman"/>
            <w:noProof/>
            <w:sz w:val="22"/>
          </w:rPr>
          <w:t>https://infostore.saiglobal.com/en-us/Standards/ANSI-B92-1-1996-1018273_SAIG_SAE_SAE_2370136/</w:t>
        </w:r>
      </w:hyperlink>
      <w:r w:rsidR="00870FA1">
        <w:rPr>
          <w:rFonts w:eastAsia="Times New Roman" w:cs="Times New Roman"/>
          <w:noProof/>
          <w:color w:val="000000"/>
          <w:sz w:val="22"/>
        </w:rPr>
        <w:t xml:space="preserve"> </w:t>
      </w:r>
      <w:r w:rsidRPr="00AA7A47">
        <w:rPr>
          <w:rFonts w:eastAsia="Times New Roman" w:cs="Times New Roman"/>
          <w:noProof/>
          <w:color w:val="000000"/>
          <w:sz w:val="22"/>
        </w:rPr>
        <w:t xml:space="preserve"> (cost is $97)</w:t>
      </w:r>
      <w:r w:rsidR="00870FA1">
        <w:rPr>
          <w:rFonts w:eastAsia="Times New Roman" w:cs="Times New Roman"/>
          <w:noProof/>
          <w:color w:val="000000"/>
          <w:sz w:val="22"/>
        </w:rPr>
        <w:t xml:space="preserve"> </w:t>
      </w:r>
    </w:p>
    <w:p w14:paraId="4BFAB92D" w14:textId="77777777" w:rsidR="00B2493E" w:rsidRDefault="00B2493E" w:rsidP="00C9232E">
      <w:pPr>
        <w:rPr>
          <w:rFonts w:eastAsia="Times New Roman" w:cs="Times New Roman"/>
          <w:noProof/>
          <w:color w:val="000000"/>
          <w:sz w:val="22"/>
        </w:rPr>
      </w:pPr>
    </w:p>
    <w:p w14:paraId="36A4EDE1" w14:textId="6157FBA5"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“Guide for Eddy Current Testing of Electrically Conducting Materials Using Conformable Sensor Arrays (ASTM E2884-13).” American Society for Testing and Materials (ASTM), International, Book of Standards, Vol. 03.03. </w:t>
      </w:r>
      <w:hyperlink r:id="rId45" w:history="1">
        <w:r w:rsidR="00870FA1" w:rsidRPr="007743A7">
          <w:rPr>
            <w:rStyle w:val="Hyperlink"/>
            <w:rFonts w:eastAsia="Times New Roman" w:cs="Times New Roman"/>
            <w:noProof/>
            <w:sz w:val="22"/>
          </w:rPr>
          <w:t>https://webstore.ansi.org/Standards/ASTM/ASTME288413</w:t>
        </w:r>
      </w:hyperlink>
      <w:r w:rsidR="00870FA1">
        <w:rPr>
          <w:rFonts w:eastAsia="Times New Roman" w:cs="Times New Roman"/>
          <w:noProof/>
          <w:color w:val="000000"/>
          <w:sz w:val="22"/>
        </w:rPr>
        <w:t xml:space="preserve"> </w:t>
      </w:r>
    </w:p>
    <w:p w14:paraId="145A20AF" w14:textId="77777777" w:rsidR="006E5D08" w:rsidRDefault="006E5D08" w:rsidP="00C9232E">
      <w:pPr>
        <w:rPr>
          <w:rFonts w:eastAsia="Times New Roman" w:cs="Times New Roman"/>
          <w:noProof/>
          <w:color w:val="000000"/>
          <w:sz w:val="22"/>
        </w:rPr>
      </w:pPr>
    </w:p>
    <w:p w14:paraId="7046AB06" w14:textId="5DBDB66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QQ-P-416F, FEDERAL SPECIFICATION: PLATING, CADMIUM (ELECTRODEPOSITED) (01 OCT 1991) [S/S BY SAE-AMS-QQ-P-416] </w:t>
      </w:r>
      <w:hyperlink r:id="rId46" w:history="1">
        <w:r w:rsidR="00870FA1" w:rsidRPr="007743A7">
          <w:rPr>
            <w:rStyle w:val="Hyperlink"/>
            <w:rFonts w:eastAsia="Times New Roman" w:cs="Times New Roman"/>
            <w:noProof/>
            <w:sz w:val="22"/>
          </w:rPr>
          <w:t>http://everyspec.com/FED_SPECS/Q/QQ-P-416F_22867/</w:t>
        </w:r>
      </w:hyperlink>
      <w:r w:rsidR="00870FA1">
        <w:rPr>
          <w:rFonts w:eastAsia="Times New Roman" w:cs="Times New Roman"/>
          <w:noProof/>
          <w:color w:val="000000"/>
          <w:sz w:val="22"/>
        </w:rPr>
        <w:t xml:space="preserve"> </w:t>
      </w:r>
    </w:p>
    <w:p w14:paraId="621C00A9" w14:textId="77777777" w:rsidR="00C9232E" w:rsidRPr="00AA7A47" w:rsidRDefault="00C9232E" w:rsidP="00C9232E">
      <w:pPr>
        <w:rPr>
          <w:rFonts w:eastAsia="Times New Roman" w:cs="Times New Roman"/>
          <w:color w:val="000000"/>
          <w:sz w:val="22"/>
        </w:rPr>
      </w:pPr>
    </w:p>
    <w:p w14:paraId="67523A6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Transmission Mast, Corrosion, Pitting, Splined Surface, Damage Depth, Surface Profile Measurement</w:t>
      </w:r>
    </w:p>
    <w:p w14:paraId="589811B5" w14:textId="77777777" w:rsidR="00C9232E" w:rsidRPr="00AA7A47" w:rsidRDefault="00C9232E" w:rsidP="00C9232E">
      <w:pPr>
        <w:rPr>
          <w:rFonts w:eastAsia="Times New Roman" w:cs="Times New Roman"/>
          <w:color w:val="000000"/>
          <w:sz w:val="22"/>
        </w:rPr>
      </w:pPr>
    </w:p>
    <w:p w14:paraId="72B3938D" w14:textId="77777777" w:rsidR="00C9232E" w:rsidRPr="00AA7A47" w:rsidRDefault="00C9232E" w:rsidP="00C9232E">
      <w:pPr>
        <w:tabs>
          <w:tab w:val="left" w:pos="1260"/>
        </w:tabs>
        <w:ind w:left="270"/>
        <w:rPr>
          <w:rFonts w:eastAsia="Times New Roman" w:cs="Times New Roman"/>
          <w:color w:val="000000"/>
          <w:sz w:val="22"/>
        </w:rPr>
      </w:pPr>
    </w:p>
    <w:p w14:paraId="6E308DD1" w14:textId="77777777" w:rsidR="00C9232E" w:rsidRPr="00AA7A47" w:rsidRDefault="00C9232E" w:rsidP="00C9232E">
      <w:pPr>
        <w:tabs>
          <w:tab w:val="left" w:pos="1260"/>
        </w:tabs>
        <w:ind w:left="270"/>
        <w:rPr>
          <w:rFonts w:eastAsia="Times New Roman" w:cs="Times New Roman"/>
          <w:color w:val="000000"/>
          <w:sz w:val="22"/>
        </w:rPr>
      </w:pPr>
    </w:p>
    <w:p w14:paraId="57BD8608" w14:textId="77777777" w:rsidR="00C9232E" w:rsidRPr="00AA7A47" w:rsidRDefault="00C9232E" w:rsidP="00C9232E">
      <w:pPr>
        <w:rPr>
          <w:rFonts w:eastAsia="Times New Roman" w:cs="Times New Roman"/>
          <w:color w:val="000000"/>
          <w:sz w:val="22"/>
        </w:rPr>
      </w:pPr>
    </w:p>
    <w:p w14:paraId="1CCBCB88" w14:textId="77777777" w:rsidR="00C9232E" w:rsidRPr="00AA7A47" w:rsidRDefault="00C9232E" w:rsidP="00C9232E">
      <w:pPr>
        <w:rPr>
          <w:rFonts w:eastAsia="Times New Roman" w:cs="Times New Roman"/>
          <w:color w:val="000000"/>
          <w:sz w:val="22"/>
        </w:rPr>
      </w:pPr>
    </w:p>
    <w:p w14:paraId="514BE617"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67C6D758"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N202-094</w:t>
      </w:r>
      <w:r w:rsidRPr="00AA7A47">
        <w:rPr>
          <w:rFonts w:eastAsia="Times New Roman" w:cs="Times New Roman"/>
          <w:color w:val="000000"/>
          <w:sz w:val="22"/>
        </w:rPr>
        <w:tab/>
        <w:t xml:space="preserve">TITLE: </w:t>
      </w:r>
      <w:r w:rsidRPr="00AA7A47">
        <w:rPr>
          <w:rFonts w:eastAsia="Times New Roman" w:cs="Times New Roman"/>
          <w:noProof/>
          <w:color w:val="000000"/>
          <w:sz w:val="22"/>
        </w:rPr>
        <w:t>Novel Multi-Physics Based Simulation Tool for Rapid Heat Damage Assessment of Polymer Composite Aircraft Structures Resulting from Excessive Heat Exposure</w:t>
      </w:r>
    </w:p>
    <w:p w14:paraId="524046C0" w14:textId="77777777" w:rsidR="00C9232E" w:rsidRPr="00AA7A47" w:rsidRDefault="00C9232E" w:rsidP="00C9232E">
      <w:pPr>
        <w:rPr>
          <w:rFonts w:eastAsia="Times New Roman" w:cs="Times New Roman"/>
          <w:color w:val="000000"/>
          <w:sz w:val="22"/>
        </w:rPr>
      </w:pPr>
    </w:p>
    <w:p w14:paraId="06E7104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6968A6D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Materials</w:t>
      </w:r>
    </w:p>
    <w:p w14:paraId="6ED6977E" w14:textId="77777777" w:rsidR="00C9232E" w:rsidRPr="00AA7A47" w:rsidRDefault="00C9232E" w:rsidP="00C9232E">
      <w:pPr>
        <w:rPr>
          <w:rFonts w:eastAsia="Times New Roman" w:cs="Times New Roman"/>
          <w:noProof/>
          <w:color w:val="000000"/>
          <w:sz w:val="22"/>
        </w:rPr>
      </w:pPr>
    </w:p>
    <w:p w14:paraId="397EBED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6C7142" w14:textId="77777777" w:rsidR="00C9232E" w:rsidRPr="00AA7A47" w:rsidRDefault="00C9232E" w:rsidP="00C9232E">
      <w:pPr>
        <w:rPr>
          <w:rFonts w:eastAsia="Times New Roman" w:cs="Times New Roman"/>
          <w:color w:val="000000"/>
          <w:sz w:val="22"/>
        </w:rPr>
      </w:pPr>
    </w:p>
    <w:p w14:paraId="3141D66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multi-physics simulation tool able to quickly assess residual structural integrity of thermoset polymer composite aircraft structures subjected to excessive heat.</w:t>
      </w:r>
    </w:p>
    <w:p w14:paraId="45CC118D" w14:textId="77777777" w:rsidR="00C9232E" w:rsidRPr="00AA7A47" w:rsidRDefault="00C9232E" w:rsidP="00C9232E">
      <w:pPr>
        <w:rPr>
          <w:rFonts w:eastAsia="Times New Roman" w:cs="Times New Roman"/>
          <w:color w:val="000000"/>
          <w:sz w:val="22"/>
        </w:rPr>
      </w:pPr>
    </w:p>
    <w:p w14:paraId="40CA3506"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Naval aircraft in operation face the risk of over-temperature incidents. These include, but are not limited to, fires and high-temperature exhaust gas impingement. Protection of composite aircraft structures from excessive heat is important since thermally damaged composites are vulnerable to compressive failure. While char or discoloration evidence caused by fire or an overheating event may be visible from inspection of structure surfaces, internal thermal damage underneath the fire protection layer or thermal degradation due to long exposures above the designed to continuous operating temperature cannot be detected or structurally assessed by visual inspection alone. Replacement of suspect components is expensive, reduces aircraft availability, and is a known readiness degrader. Continued operation of a thermally damaged composite structure could result in a catastrophic failure. Without knowing the criticality or distribution of the thermally induced degradation, a repair solution cannot be implemented to restore the damaged component to the required load bearing capacity. Existing simulation tools cannot provide a quick solution for the damage assessment of a large-scale structure experiencing an over-temperature incident. </w:t>
      </w:r>
    </w:p>
    <w:p w14:paraId="2861091D" w14:textId="77777777" w:rsidR="00C9232E" w:rsidRPr="00AA7A47" w:rsidRDefault="00C9232E" w:rsidP="00C9232E">
      <w:pPr>
        <w:rPr>
          <w:rFonts w:eastAsia="Times New Roman" w:cs="Times New Roman"/>
          <w:noProof/>
          <w:color w:val="000000"/>
          <w:sz w:val="22"/>
        </w:rPr>
      </w:pPr>
    </w:p>
    <w:p w14:paraId="2DA7608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Navy seeks development of a rapid-heat damage assessment and failure prediction tool to fill the current technology gap and support its mission driven operation. A high-fidelity solution process must be established to generate a rapid prediction tool that can be updated from additional data collected from inspection. Development of a multi-physics model capable of conservative prediction of the structural response for a given temporal and spatial evolution of thermal environment is desired. The thermal analysis of a composite structure exposed to excessive heat is complex because the heat transfer is controlled by many temperature- and rate-dependent processes such as thermal expansion and contraction, pressure rise, chemical decomposition, formation of matrix cracks, voids and delamination. The proposed approach should take into account the following phenomena: heat transfer, phase evolution and property degradation at micro-macro scale, damage progression under thermal-mechanical loading, multiple failure modes interaction, and multi-component structure failure.  </w:t>
      </w:r>
    </w:p>
    <w:p w14:paraId="092EB6FF" w14:textId="77777777" w:rsidR="00C9232E" w:rsidRPr="00AA7A47" w:rsidRDefault="00C9232E" w:rsidP="00C9232E">
      <w:pPr>
        <w:rPr>
          <w:rFonts w:eastAsia="Times New Roman" w:cs="Times New Roman"/>
          <w:noProof/>
          <w:color w:val="000000"/>
          <w:sz w:val="22"/>
        </w:rPr>
      </w:pPr>
    </w:p>
    <w:p w14:paraId="602EFE98"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A comprehensive multi-physics model shall account for thermo-mechanical and thermo-chemical effects. The model must have the ability to calculate the temperature distribution within the composite when exposed to excessive heat. The model should take into account the effects of heat conduction, thermoset matrix pyrolysis, oxidation of carbon fibers, thermal expansion and diffusion of decomposition gases on the temperature distribution in the system. The model should be able to predict the composite decomposition kinetics as well as the degraded composite structural response. This model should also </w:t>
      </w:r>
      <w:r w:rsidRPr="00AA7A47">
        <w:rPr>
          <w:rFonts w:eastAsia="Times New Roman" w:cs="Times New Roman"/>
          <w:noProof/>
          <w:color w:val="000000"/>
          <w:sz w:val="22"/>
        </w:rPr>
        <w:lastRenderedPageBreak/>
        <w:t>take into account the composite interaction with the associated high-temperature environment. The model should also include damage and failure prediction modules. The damage prediction module should allow the developed model to predict the type of damage depending on the temperature and exposure time, while the failure prediction module should estimate the failure behavior with respect to the over-temperature event characteristics. The inclusion of these two modules should allow the model the capacity to predict the overall behavior of composite structures when exposed to excessive heat.</w:t>
      </w:r>
    </w:p>
    <w:p w14:paraId="05EA02A3" w14:textId="77777777" w:rsidR="00C9232E" w:rsidRPr="00AA7A47" w:rsidRDefault="00C9232E" w:rsidP="00C9232E">
      <w:pPr>
        <w:rPr>
          <w:rFonts w:eastAsia="Times New Roman" w:cs="Times New Roman"/>
          <w:color w:val="000000"/>
          <w:sz w:val="22"/>
        </w:rPr>
      </w:pPr>
    </w:p>
    <w:p w14:paraId="7D73CC8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an accurate tool for the modeling of the transfer of heat through a composite exposed to excessive heat in residual strength analysis that includes the analysis of composition decomposition and damage. The accuracy of the model is dependent on the input data, and thermal experiments should be carried out during this phase. A proof of concept demonstration should be performed indicating the ability of the model in establishing a mapping relation between temperature and response of a loaded structural component. The Phase I effort will include prototype plans to be developed under Phase II.</w:t>
      </w:r>
    </w:p>
    <w:p w14:paraId="5E7A426A" w14:textId="77777777" w:rsidR="00C9232E" w:rsidRPr="00AA7A47" w:rsidRDefault="00C9232E" w:rsidP="00C9232E">
      <w:pPr>
        <w:rPr>
          <w:rFonts w:eastAsia="Times New Roman" w:cs="Times New Roman"/>
          <w:color w:val="000000"/>
          <w:sz w:val="22"/>
        </w:rPr>
      </w:pPr>
    </w:p>
    <w:p w14:paraId="1352C19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Further develop and validate the model developed during Phase I through component/sub-scale testing. After validation, the model should be extended to multi-component laminated structures and sandwich composite structures. Transition feasibility should also be demonstrated during this phase. Acceptable error between predicted versus experiment can be no more than 2-6%.</w:t>
      </w:r>
    </w:p>
    <w:p w14:paraId="68D9729A" w14:textId="77777777" w:rsidR="00C9232E" w:rsidRPr="00AA7A47" w:rsidRDefault="00C9232E" w:rsidP="00C9232E">
      <w:pPr>
        <w:rPr>
          <w:rFonts w:eastAsia="Times New Roman" w:cs="Times New Roman"/>
          <w:color w:val="000000"/>
          <w:sz w:val="22"/>
        </w:rPr>
      </w:pPr>
    </w:p>
    <w:p w14:paraId="790E795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Finalize and perform necessary testing to verify and validate. Transition to end users and commercial industries. Successful technology development would benefit the commercial aerospace industry.</w:t>
      </w:r>
    </w:p>
    <w:p w14:paraId="3B5251C1" w14:textId="77777777" w:rsidR="00C9232E" w:rsidRPr="00AA7A47" w:rsidRDefault="00C9232E" w:rsidP="00C9232E">
      <w:pPr>
        <w:rPr>
          <w:rFonts w:eastAsia="Times New Roman" w:cs="Times New Roman"/>
          <w:color w:val="000000"/>
          <w:sz w:val="22"/>
        </w:rPr>
      </w:pPr>
    </w:p>
    <w:p w14:paraId="60172DD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7447151B" w14:textId="076D9CDE"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1. Tranchard, P., Samyn, F., Duquesne, S., Estebe, B. and Bourbigot, S. “Modelling Behaviour of a Carbon Epoxy Composite Exposed to Fire: Part I—Characterization of Thermophysical Properties.” Materials, Vol 10, doi: 10.3390/ma10050494, 2017</w:t>
      </w:r>
      <w:r w:rsidR="00384BF4">
        <w:rPr>
          <w:rFonts w:eastAsia="Times New Roman" w:cs="Times New Roman"/>
          <w:noProof/>
          <w:color w:val="000000"/>
          <w:sz w:val="22"/>
        </w:rPr>
        <w:t xml:space="preserve"> </w:t>
      </w:r>
    </w:p>
    <w:p w14:paraId="22E9873A" w14:textId="77777777" w:rsidR="006E5D08" w:rsidRDefault="006E5D08" w:rsidP="00C9232E">
      <w:pPr>
        <w:rPr>
          <w:rFonts w:eastAsia="Times New Roman" w:cs="Times New Roman"/>
          <w:noProof/>
          <w:color w:val="000000"/>
          <w:sz w:val="22"/>
        </w:rPr>
      </w:pPr>
    </w:p>
    <w:p w14:paraId="660191E3" w14:textId="264385B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2. Tranchard, P., Samyn, F., Duquesne, S., Estebe, B., and Bourbigot, S., “Modelling Behaviour of a Carbon Epoxy Composite Exposed to Fire: Part II—Comparison with Experimental Results,” Materials, Vol 10, doi: 10.3390/ma10050470, 2017</w:t>
      </w:r>
      <w:r w:rsidR="00384BF4">
        <w:rPr>
          <w:rFonts w:eastAsia="Times New Roman" w:cs="Times New Roman"/>
          <w:noProof/>
          <w:color w:val="000000"/>
          <w:sz w:val="22"/>
        </w:rPr>
        <w:t xml:space="preserve"> </w:t>
      </w:r>
    </w:p>
    <w:p w14:paraId="2AA55572" w14:textId="77777777" w:rsidR="006E5D08" w:rsidRDefault="006E5D08" w:rsidP="00C9232E">
      <w:pPr>
        <w:rPr>
          <w:rFonts w:eastAsia="Times New Roman" w:cs="Times New Roman"/>
          <w:noProof/>
          <w:color w:val="000000"/>
          <w:sz w:val="22"/>
        </w:rPr>
      </w:pPr>
    </w:p>
    <w:p w14:paraId="5AC23926" w14:textId="408E1835" w:rsidR="006E5D08"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Quintiere, J.G., Walters, R. N. and Crowley, S. “Flammability properties of aircraft carbon-fiber structural composite.” DOT/FAA/AR-07/57, 2007. </w:t>
      </w:r>
      <w:hyperlink r:id="rId47" w:history="1">
        <w:r w:rsidR="00384BF4" w:rsidRPr="007743A7">
          <w:rPr>
            <w:rStyle w:val="Hyperlink"/>
            <w:rFonts w:eastAsia="Times New Roman" w:cs="Times New Roman"/>
            <w:noProof/>
            <w:sz w:val="22"/>
          </w:rPr>
          <w:t>https://www.fire.tc.faa.gov/pdf/07-57.pdf</w:t>
        </w:r>
      </w:hyperlink>
      <w:r w:rsidR="00384BF4">
        <w:rPr>
          <w:rFonts w:eastAsia="Times New Roman" w:cs="Times New Roman"/>
          <w:noProof/>
          <w:color w:val="000000"/>
          <w:sz w:val="22"/>
        </w:rPr>
        <w:t xml:space="preserve"> </w:t>
      </w:r>
    </w:p>
    <w:p w14:paraId="74646003" w14:textId="77777777" w:rsidR="006E5D08" w:rsidRDefault="006E5D08" w:rsidP="00C9232E">
      <w:pPr>
        <w:rPr>
          <w:rFonts w:eastAsia="Times New Roman" w:cs="Times New Roman"/>
          <w:noProof/>
          <w:color w:val="000000"/>
          <w:sz w:val="22"/>
        </w:rPr>
      </w:pPr>
    </w:p>
    <w:p w14:paraId="65468CA7" w14:textId="699066FA"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Nelson, James B. “Determination of Kinetic Parameters of Six Ablation Polymers by Thermogravimetric Analysis.” NASA TN D-3919, 1967. </w:t>
      </w:r>
      <w:hyperlink r:id="rId48" w:history="1">
        <w:r w:rsidR="00384BF4" w:rsidRPr="007743A7">
          <w:rPr>
            <w:rStyle w:val="Hyperlink"/>
            <w:rFonts w:eastAsia="Times New Roman" w:cs="Times New Roman"/>
            <w:noProof/>
            <w:sz w:val="22"/>
          </w:rPr>
          <w:t>https://ntrs.nasa.gov/archive/nasa/casi.ntrs.nasa.gov/19670013969.pdf</w:t>
        </w:r>
      </w:hyperlink>
      <w:r w:rsidR="00384BF4">
        <w:rPr>
          <w:rFonts w:eastAsia="Times New Roman" w:cs="Times New Roman"/>
          <w:noProof/>
          <w:color w:val="000000"/>
          <w:sz w:val="22"/>
        </w:rPr>
        <w:t xml:space="preserve"> </w:t>
      </w:r>
    </w:p>
    <w:p w14:paraId="5E8EBEAE" w14:textId="77777777" w:rsidR="00C9232E" w:rsidRPr="00AA7A47" w:rsidRDefault="00C9232E" w:rsidP="00C9232E">
      <w:pPr>
        <w:rPr>
          <w:rFonts w:eastAsia="Times New Roman" w:cs="Times New Roman"/>
          <w:color w:val="000000"/>
          <w:sz w:val="22"/>
        </w:rPr>
      </w:pPr>
    </w:p>
    <w:p w14:paraId="2535F52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Composite Fire, Thermal Analysis, Thermo-Mechanical Model And Thermo-Chemical Model, Property Degradation, Post-Fire Damage Assessment, Failure Modes Interaction, Decomposition Kinetics</w:t>
      </w:r>
    </w:p>
    <w:p w14:paraId="220A87C7" w14:textId="77777777" w:rsidR="00C9232E" w:rsidRPr="00AA7A47" w:rsidRDefault="00C9232E" w:rsidP="00C9232E">
      <w:pPr>
        <w:rPr>
          <w:rFonts w:eastAsia="Times New Roman" w:cs="Times New Roman"/>
          <w:color w:val="000000"/>
          <w:sz w:val="22"/>
        </w:rPr>
      </w:pPr>
    </w:p>
    <w:p w14:paraId="2CB154A0" w14:textId="45F8AED9" w:rsidR="0084535C" w:rsidRDefault="0084535C">
      <w:pPr>
        <w:rPr>
          <w:rFonts w:eastAsia="Times New Roman" w:cs="Times New Roman"/>
          <w:color w:val="000000"/>
          <w:sz w:val="22"/>
        </w:rPr>
      </w:pPr>
      <w:r>
        <w:rPr>
          <w:rFonts w:eastAsia="Times New Roman" w:cs="Times New Roman"/>
          <w:color w:val="000000"/>
          <w:sz w:val="22"/>
        </w:rPr>
        <w:br w:type="page"/>
      </w:r>
    </w:p>
    <w:p w14:paraId="7058877B" w14:textId="77777777" w:rsidR="00C9232E" w:rsidRPr="00AA7A47" w:rsidRDefault="00C9232E" w:rsidP="00C9232E">
      <w:pPr>
        <w:tabs>
          <w:tab w:val="left" w:pos="1260"/>
        </w:tabs>
        <w:ind w:left="270"/>
        <w:rPr>
          <w:rFonts w:eastAsia="Times New Roman" w:cs="Times New Roman"/>
          <w:color w:val="000000"/>
          <w:sz w:val="22"/>
        </w:rPr>
      </w:pPr>
    </w:p>
    <w:p w14:paraId="2A083C64" w14:textId="77777777" w:rsidR="00C9232E" w:rsidRPr="00AA7A47" w:rsidRDefault="00C9232E" w:rsidP="00C9232E">
      <w:pPr>
        <w:rPr>
          <w:rFonts w:eastAsia="Times New Roman" w:cs="Times New Roman"/>
          <w:color w:val="000000"/>
          <w:sz w:val="22"/>
        </w:rPr>
      </w:pPr>
    </w:p>
    <w:p w14:paraId="19019FFF"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t>N202-095</w:t>
      </w:r>
      <w:r w:rsidRPr="00AA7A47">
        <w:rPr>
          <w:rFonts w:eastAsia="Times New Roman" w:cs="Times New Roman"/>
          <w:color w:val="000000"/>
          <w:sz w:val="22"/>
        </w:rPr>
        <w:tab/>
        <w:t xml:space="preserve">TITLE: </w:t>
      </w:r>
      <w:r w:rsidRPr="00AA7A47">
        <w:rPr>
          <w:rFonts w:eastAsia="Times New Roman" w:cs="Times New Roman"/>
          <w:noProof/>
          <w:color w:val="000000"/>
          <w:sz w:val="22"/>
        </w:rPr>
        <w:t>Next Generation Radar and Electronic Warfare Processing Technology</w:t>
      </w:r>
    </w:p>
    <w:p w14:paraId="6E63C10A" w14:textId="77777777" w:rsidR="00C9232E" w:rsidRPr="00AA7A47" w:rsidRDefault="00C9232E" w:rsidP="00C9232E">
      <w:pPr>
        <w:rPr>
          <w:rFonts w:eastAsia="Times New Roman" w:cs="Times New Roman"/>
          <w:color w:val="000000"/>
          <w:sz w:val="22"/>
        </w:rPr>
      </w:pPr>
    </w:p>
    <w:p w14:paraId="03F1A0C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67B2E88F"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TECHNOLOGY AREA(S): Information Systems, Battlespace</w:t>
      </w:r>
    </w:p>
    <w:p w14:paraId="55909B1A" w14:textId="77777777" w:rsidR="00C9232E" w:rsidRPr="00AA7A47" w:rsidRDefault="00C9232E" w:rsidP="00C9232E">
      <w:pPr>
        <w:rPr>
          <w:rFonts w:eastAsia="Times New Roman" w:cs="Times New Roman"/>
          <w:noProof/>
          <w:color w:val="000000"/>
          <w:sz w:val="22"/>
        </w:rPr>
      </w:pPr>
    </w:p>
    <w:p w14:paraId="279B168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3BC09F8" w14:textId="77777777" w:rsidR="00C9232E" w:rsidRPr="00AA7A47" w:rsidRDefault="00C9232E" w:rsidP="00C9232E">
      <w:pPr>
        <w:rPr>
          <w:rFonts w:eastAsia="Times New Roman" w:cs="Times New Roman"/>
          <w:noProof/>
          <w:color w:val="000000"/>
          <w:sz w:val="22"/>
        </w:rPr>
      </w:pPr>
    </w:p>
    <w:p w14:paraId="5FD72929"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OBJ</w:t>
      </w:r>
      <w:r w:rsidRPr="00AA7A47">
        <w:rPr>
          <w:rFonts w:eastAsia="Times New Roman" w:cs="Times New Roman"/>
          <w:color w:val="000000"/>
          <w:sz w:val="22"/>
        </w:rPr>
        <w:t xml:space="preserve">ECTIVE: </w:t>
      </w:r>
      <w:r w:rsidRPr="00AA7A47">
        <w:rPr>
          <w:rFonts w:eastAsia="Times New Roman" w:cs="Times New Roman"/>
          <w:noProof/>
          <w:color w:val="000000"/>
          <w:sz w:val="22"/>
        </w:rPr>
        <w:t>Develop radar and/or electronic warfare (EW) processing technology to include Synthetic Aperture Radar (SAR) and/or Airborne Electronic Attack (AEA) processing systems for coherent pulsed radio frequency (RF) systems to include new generation non-sinusoidal time-frequency RF waveforms such as wavelets.</w:t>
      </w:r>
    </w:p>
    <w:p w14:paraId="5C530154" w14:textId="77777777" w:rsidR="00C9232E" w:rsidRPr="00AA7A47" w:rsidRDefault="00C9232E" w:rsidP="00C9232E">
      <w:pPr>
        <w:rPr>
          <w:rFonts w:eastAsia="Times New Roman" w:cs="Times New Roman"/>
          <w:color w:val="000000"/>
          <w:sz w:val="22"/>
        </w:rPr>
      </w:pPr>
    </w:p>
    <w:p w14:paraId="7766E1E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 need exists for hardware and software SAR and AEA processing solutions to augment or replace existing airborne processing technology at reduced size, weight, and power (SWaP), and waste heat versus the current state-of-the-art. Current generation commercial digital processor technology recently delivered to the U.S. Navy to perform SAR processing is 0.73 Teraflop, or 1 Trillion Floating Point Operations per Second (TFLOPS) per pound (lb.). This includes 2xCPU’s/4xGPU’s, power supply, cooling system, 256 GB random access memory (RAM), 3.2 TB Serial Advanced Technology Attachment (SATA) disk, motherboard, and interface elements. Development of processing hardware and software system technology may be digital, optical, hybrid optoelectronic, or of neuromorphic computing capability in order to reduce the SWaP, and waste heat versus existing real-time processing solutions. </w:t>
      </w:r>
    </w:p>
    <w:p w14:paraId="40F48A4C" w14:textId="77777777" w:rsidR="00C9232E" w:rsidRPr="00AA7A47" w:rsidRDefault="00C9232E" w:rsidP="00C9232E">
      <w:pPr>
        <w:rPr>
          <w:rFonts w:eastAsia="Times New Roman" w:cs="Times New Roman"/>
          <w:noProof/>
          <w:color w:val="000000"/>
          <w:sz w:val="22"/>
        </w:rPr>
      </w:pPr>
    </w:p>
    <w:p w14:paraId="006A4E5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OBJECTIVE: 3.0 TFLOPS per LB; THRESHOLD: 1.5 TFLOPS per LB. </w:t>
      </w:r>
    </w:p>
    <w:p w14:paraId="094D2DF0" w14:textId="77777777" w:rsidR="00C9232E" w:rsidRPr="00AA7A47" w:rsidRDefault="00C9232E" w:rsidP="00C9232E">
      <w:pPr>
        <w:rPr>
          <w:rFonts w:eastAsia="Times New Roman" w:cs="Times New Roman"/>
          <w:noProof/>
          <w:color w:val="000000"/>
          <w:sz w:val="22"/>
        </w:rPr>
      </w:pPr>
    </w:p>
    <w:p w14:paraId="70E81618"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transition goal for this system technology is to reduce the SWaP requirements for air platform integration. </w:t>
      </w:r>
    </w:p>
    <w:p w14:paraId="12A48E1F" w14:textId="77777777" w:rsidR="00C9232E" w:rsidRPr="00AA7A47" w:rsidRDefault="00C9232E" w:rsidP="00C9232E">
      <w:pPr>
        <w:rPr>
          <w:rFonts w:eastAsia="Times New Roman" w:cs="Times New Roman"/>
          <w:noProof/>
          <w:color w:val="000000"/>
          <w:sz w:val="22"/>
        </w:rPr>
      </w:pPr>
    </w:p>
    <w:p w14:paraId="4DECECA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In addition to traditional RF waveforms, such as Linear Frequency Modulated (LFM) chirps, Next Generation SAR and AEA processing system technology should include a capability to process non-sinusoidal time-frequency RF signals, or wavelets; or Low Probability of Detection (LPD), Low Probability of Intercept (LPI) waveforms. </w:t>
      </w:r>
    </w:p>
    <w:p w14:paraId="153F1DF5" w14:textId="77777777" w:rsidR="00C9232E" w:rsidRPr="00AA7A47" w:rsidRDefault="00C9232E" w:rsidP="00C9232E">
      <w:pPr>
        <w:rPr>
          <w:rFonts w:eastAsia="Times New Roman" w:cs="Times New Roman"/>
          <w:noProof/>
          <w:color w:val="000000"/>
          <w:sz w:val="22"/>
        </w:rPr>
      </w:pPr>
    </w:p>
    <w:p w14:paraId="316CF355"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BBFC79D" w14:textId="77777777" w:rsidR="00C9232E" w:rsidRPr="00AA7A47" w:rsidRDefault="00C9232E" w:rsidP="00C9232E">
      <w:pPr>
        <w:rPr>
          <w:rFonts w:eastAsia="Times New Roman" w:cs="Times New Roman"/>
          <w:color w:val="000000"/>
          <w:sz w:val="22"/>
        </w:rPr>
      </w:pPr>
    </w:p>
    <w:p w14:paraId="4759B3A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 xml:space="preserve">PHASE I: </w:t>
      </w:r>
      <w:r w:rsidRPr="00AA7A47">
        <w:rPr>
          <w:rFonts w:eastAsia="Times New Roman" w:cs="Times New Roman"/>
          <w:noProof/>
          <w:color w:val="000000"/>
          <w:sz w:val="22"/>
        </w:rPr>
        <w:t>Design, develop, and demonstrate feasibility of hardware and software SAR and AEA processing solutions to meet the requirements outlined in the Description. The Phase I effort will include prototype plans to be developed under Phase II. LINUX OS preferred over Windows OS.</w:t>
      </w:r>
    </w:p>
    <w:p w14:paraId="574E7499" w14:textId="77777777" w:rsidR="00C9232E" w:rsidRPr="00AA7A47" w:rsidRDefault="00C9232E" w:rsidP="00C9232E">
      <w:pPr>
        <w:rPr>
          <w:rFonts w:eastAsia="Times New Roman" w:cs="Times New Roman"/>
          <w:color w:val="000000"/>
          <w:sz w:val="22"/>
        </w:rPr>
      </w:pPr>
    </w:p>
    <w:p w14:paraId="77DBE460"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prototype-processing technology. Demonstrate and test that the prototype works toward reduced SWaP form factors for integration to air platforms. Optimize the system design for SAR processing with Phase History Data (PHD) to perform real-time (R/T) image formation for X through UHF-Band SAR and AEA applications. R/T SAR image formation from raw PHD requires is estimated to be .01 TFLOP per Megapixel image at X-Band and 2 TFLOP per Megapixel at UHF-Band.</w:t>
      </w:r>
    </w:p>
    <w:p w14:paraId="49D52C10"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12083EF4" w14:textId="77777777" w:rsidR="00C9232E" w:rsidRPr="00AA7A47" w:rsidRDefault="00C9232E" w:rsidP="00C9232E">
      <w:pPr>
        <w:rPr>
          <w:rFonts w:eastAsia="Times New Roman" w:cs="Times New Roman"/>
          <w:color w:val="000000"/>
          <w:sz w:val="22"/>
        </w:rPr>
      </w:pPr>
    </w:p>
    <w:p w14:paraId="6163C1A6"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Test processing systems within aircraft platforms. Perform early development, test and evaluation flights from non-Navy air platforms to simplify integration and reduce flight hour costs. If resourced, later development, test and evaluation test flights are likely to be conducted from Navy test aircraft, to include new generation of Unmanned Aerial Vehicles (UAVs).</w:t>
      </w:r>
    </w:p>
    <w:p w14:paraId="4B08E12F"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Lightweight systems technology has the potential to bring full performance SAR collection and processing capability to small Unmanned Aerial Systems (UAS) for support to commercial industry, local governments, and academia such as all-weather terrain mapping, mineral exploration, land use pattern analysis, change detection, and 3-D urban modeling.</w:t>
      </w:r>
    </w:p>
    <w:p w14:paraId="2EB3A6C9" w14:textId="77777777" w:rsidR="00C9232E" w:rsidRPr="00AA7A47" w:rsidRDefault="00C9232E" w:rsidP="00C9232E">
      <w:pPr>
        <w:rPr>
          <w:rFonts w:eastAsia="Times New Roman" w:cs="Times New Roman"/>
          <w:color w:val="000000"/>
          <w:sz w:val="22"/>
        </w:rPr>
      </w:pPr>
    </w:p>
    <w:p w14:paraId="3D12374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7EDF527D" w14:textId="5B05DA85"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Adamy, D. “EW 104: Electronic Warfare Against a New Generation of Threats.” Artech House: Boston, 2015. </w:t>
      </w:r>
      <w:hyperlink r:id="rId49" w:history="1">
        <w:r w:rsidR="0023410C" w:rsidRPr="007743A7">
          <w:rPr>
            <w:rStyle w:val="Hyperlink"/>
            <w:rFonts w:eastAsia="Times New Roman" w:cs="Times New Roman"/>
            <w:noProof/>
            <w:sz w:val="22"/>
          </w:rPr>
          <w:t>https://us.artechhouse.com/EW-104-Electronic-Warfare-Against-a-New-Generation-of-Threats-P1707.aspx</w:t>
        </w:r>
      </w:hyperlink>
      <w:r w:rsidR="0023410C">
        <w:rPr>
          <w:rFonts w:eastAsia="Times New Roman" w:cs="Times New Roman"/>
          <w:noProof/>
          <w:color w:val="000000"/>
          <w:sz w:val="22"/>
        </w:rPr>
        <w:t xml:space="preserve"> </w:t>
      </w:r>
    </w:p>
    <w:p w14:paraId="04D200A3" w14:textId="77777777" w:rsidR="00C73536" w:rsidRDefault="00C73536" w:rsidP="00C9232E">
      <w:pPr>
        <w:rPr>
          <w:rFonts w:eastAsia="Times New Roman" w:cs="Times New Roman"/>
          <w:noProof/>
          <w:color w:val="000000"/>
          <w:sz w:val="22"/>
        </w:rPr>
      </w:pPr>
    </w:p>
    <w:p w14:paraId="586C9259" w14:textId="427F2FCE"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Jakowatz, C., Wahl, D., Eichel, P., Ghiglia, D. &amp; Thompson, P. “Spotlight-Mode Synthetic Aperture Radar: A Signal Processing Approach.” Springer: New York, 1996. </w:t>
      </w:r>
      <w:hyperlink r:id="rId50" w:history="1">
        <w:r w:rsidR="0023410C" w:rsidRPr="007743A7">
          <w:rPr>
            <w:rStyle w:val="Hyperlink"/>
            <w:rFonts w:eastAsia="Times New Roman" w:cs="Times New Roman"/>
            <w:noProof/>
            <w:sz w:val="22"/>
          </w:rPr>
          <w:t>https://www.springer.com/us/book/9780792396772</w:t>
        </w:r>
      </w:hyperlink>
      <w:r w:rsidR="0023410C">
        <w:rPr>
          <w:rFonts w:eastAsia="Times New Roman" w:cs="Times New Roman"/>
          <w:noProof/>
          <w:color w:val="000000"/>
          <w:sz w:val="22"/>
        </w:rPr>
        <w:t xml:space="preserve"> </w:t>
      </w:r>
    </w:p>
    <w:p w14:paraId="583753CC" w14:textId="77777777" w:rsidR="00C9232E" w:rsidRPr="00AA7A47" w:rsidRDefault="00C9232E" w:rsidP="00C9232E">
      <w:pPr>
        <w:rPr>
          <w:rFonts w:eastAsia="Times New Roman" w:cs="Times New Roman"/>
          <w:color w:val="000000"/>
          <w:sz w:val="22"/>
        </w:rPr>
      </w:pPr>
    </w:p>
    <w:p w14:paraId="5D968F6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Synthetic Aperture Radar, SAR, Size, Weight and Power, SWaP, Airborne Electronic Attack, AEA, In-phase and quadrature components, I/Q Processing, Unmanned Aerial Systems, UAS, Unmanned Aerial Vehicle, UAV</w:t>
      </w:r>
    </w:p>
    <w:p w14:paraId="74092C06" w14:textId="77777777" w:rsidR="00C9232E" w:rsidRPr="00AA7A47" w:rsidRDefault="00C9232E" w:rsidP="00C9232E">
      <w:pPr>
        <w:rPr>
          <w:rFonts w:eastAsia="Times New Roman" w:cs="Times New Roman"/>
          <w:color w:val="000000"/>
          <w:sz w:val="22"/>
        </w:rPr>
      </w:pPr>
    </w:p>
    <w:p w14:paraId="288427B1" w14:textId="77777777" w:rsidR="00C9232E" w:rsidRPr="00AA7A47" w:rsidRDefault="00C9232E" w:rsidP="00C9232E">
      <w:pPr>
        <w:tabs>
          <w:tab w:val="left" w:pos="1260"/>
        </w:tabs>
        <w:ind w:left="270"/>
        <w:rPr>
          <w:rFonts w:eastAsia="Times New Roman" w:cs="Times New Roman"/>
          <w:color w:val="000000"/>
          <w:sz w:val="22"/>
        </w:rPr>
      </w:pPr>
    </w:p>
    <w:p w14:paraId="70F38C90" w14:textId="77777777" w:rsidR="00C9232E" w:rsidRPr="00AA7A47" w:rsidRDefault="00C9232E" w:rsidP="00C9232E">
      <w:pPr>
        <w:tabs>
          <w:tab w:val="left" w:pos="1260"/>
        </w:tabs>
        <w:ind w:left="270"/>
        <w:rPr>
          <w:rFonts w:eastAsia="Times New Roman" w:cs="Times New Roman"/>
          <w:color w:val="000000"/>
          <w:sz w:val="22"/>
        </w:rPr>
      </w:pPr>
    </w:p>
    <w:p w14:paraId="4A64534B" w14:textId="77777777" w:rsidR="00C9232E" w:rsidRPr="00AA7A47" w:rsidRDefault="00C9232E" w:rsidP="00C9232E">
      <w:pPr>
        <w:tabs>
          <w:tab w:val="left" w:pos="1260"/>
        </w:tabs>
        <w:ind w:left="270"/>
        <w:rPr>
          <w:rFonts w:eastAsia="Times New Roman" w:cs="Times New Roman"/>
          <w:color w:val="000000"/>
          <w:sz w:val="22"/>
        </w:rPr>
      </w:pPr>
    </w:p>
    <w:p w14:paraId="05DC3C24" w14:textId="77777777" w:rsidR="00C9232E" w:rsidRPr="00AA7A47" w:rsidRDefault="00C9232E" w:rsidP="00C9232E">
      <w:pPr>
        <w:rPr>
          <w:rFonts w:eastAsia="Times New Roman" w:cs="Times New Roman"/>
          <w:color w:val="000000"/>
          <w:sz w:val="22"/>
        </w:rPr>
      </w:pPr>
    </w:p>
    <w:p w14:paraId="6CFBE706" w14:textId="77777777" w:rsidR="00C9232E" w:rsidRPr="00AA7A47" w:rsidRDefault="00C9232E" w:rsidP="00C9232E">
      <w:pPr>
        <w:rPr>
          <w:rFonts w:eastAsia="Times New Roman" w:cs="Times New Roman"/>
          <w:color w:val="000000"/>
          <w:sz w:val="22"/>
        </w:rPr>
      </w:pPr>
    </w:p>
    <w:p w14:paraId="16DAC8FE"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625D7CD5"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N202-096</w:t>
      </w:r>
      <w:r w:rsidRPr="00AA7A47">
        <w:rPr>
          <w:rFonts w:eastAsia="Times New Roman" w:cs="Times New Roman"/>
          <w:color w:val="000000"/>
          <w:sz w:val="22"/>
        </w:rPr>
        <w:tab/>
        <w:t xml:space="preserve">TITLE: </w:t>
      </w:r>
      <w:r w:rsidRPr="00AA7A47">
        <w:rPr>
          <w:rFonts w:eastAsia="Times New Roman" w:cs="Times New Roman"/>
          <w:noProof/>
          <w:color w:val="000000"/>
          <w:sz w:val="22"/>
        </w:rPr>
        <w:t>Rotorcraft Crash Sensor for Active Safety Systems and Mishap Dynamics Recording</w:t>
      </w:r>
    </w:p>
    <w:p w14:paraId="378AD8F0" w14:textId="77777777" w:rsidR="00C9232E" w:rsidRPr="00AA7A47" w:rsidRDefault="00C9232E" w:rsidP="00C9232E">
      <w:pPr>
        <w:rPr>
          <w:rFonts w:eastAsia="Times New Roman" w:cs="Times New Roman"/>
          <w:color w:val="000000"/>
          <w:sz w:val="22"/>
        </w:rPr>
      </w:pPr>
    </w:p>
    <w:p w14:paraId="64B135B1"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7D65C49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Bio Medical, Human Systems</w:t>
      </w:r>
    </w:p>
    <w:p w14:paraId="44335694" w14:textId="77777777" w:rsidR="00C9232E" w:rsidRPr="00AA7A47" w:rsidRDefault="00C9232E" w:rsidP="00C9232E">
      <w:pPr>
        <w:rPr>
          <w:rFonts w:eastAsia="Times New Roman" w:cs="Times New Roman"/>
          <w:color w:val="000000"/>
          <w:sz w:val="22"/>
        </w:rPr>
      </w:pPr>
    </w:p>
    <w:p w14:paraId="008D4C81"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system capable of recording crash dynamics and detecting crash events in real-time, enabling the application of advanced, and life-saving, crash protective technologies.</w:t>
      </w:r>
    </w:p>
    <w:p w14:paraId="47BC9115" w14:textId="77777777" w:rsidR="00C9232E" w:rsidRPr="00AA7A47" w:rsidRDefault="00C9232E" w:rsidP="00C9232E">
      <w:pPr>
        <w:rPr>
          <w:rFonts w:eastAsia="Times New Roman" w:cs="Times New Roman"/>
          <w:color w:val="000000"/>
          <w:sz w:val="22"/>
        </w:rPr>
      </w:pPr>
    </w:p>
    <w:p w14:paraId="2816B084"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Current crash protective systems on Naval Aviation platforms rely on primarily "passive" safety systems to protect pilots and aircrew in the event of a crash or other mishap, such as hard landings. Current crash protection technologies, such as aircrew tethers, inertia reels, restraint systems, and energy-absorbing seating systems, minimally respond or adapt to an in-progress or impending mishap. The result is technologies optimized for neither specific crash environments, nor operational use. Crash protective systems are designed to protect aircraft occupants during representative crash pulses, and, in some cases, compromises must be made between crash protection and operational usability. If a crash sensor/recording system were employed, safety systems (such as restraint pretensioners, airbag systems, crashworthy seats, or mobile aircrew restraints) could actively respond to an impending or ongoing crash event.</w:t>
      </w:r>
    </w:p>
    <w:p w14:paraId="097E8DC0" w14:textId="77777777" w:rsidR="00C9232E" w:rsidRPr="00AA7A47" w:rsidRDefault="00C9232E" w:rsidP="00C9232E">
      <w:pPr>
        <w:rPr>
          <w:rFonts w:eastAsia="Times New Roman" w:cs="Times New Roman"/>
          <w:noProof/>
          <w:color w:val="000000"/>
          <w:sz w:val="22"/>
        </w:rPr>
      </w:pPr>
    </w:p>
    <w:p w14:paraId="5710B16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In Naval Aviation, no recordings are made of crash acceleration data from mishap events, outside of infrequent test events. The dynamic environments that crashworthiness and escape system engineers work with are often reconstructed more from subjective assessment than from available data. A number of assumptions create a best-educated guess as to the actual conditions of an event. In many cases, the dynamic environments to which U.S. Navy and Marine Corp aircrew are being exposed during mishaps are not known. Further incremental increases in mishap survivability have been hindered by the void of actual mishap acceleration data in spite of the fact that computerized controllers can sense and respond to a developing acceleration environment related to an aircraft crash or escape event.</w:t>
      </w:r>
    </w:p>
    <w:p w14:paraId="36728E2A" w14:textId="77777777" w:rsidR="00C9232E" w:rsidRPr="00AA7A47" w:rsidRDefault="00C9232E" w:rsidP="00C9232E">
      <w:pPr>
        <w:rPr>
          <w:rFonts w:eastAsia="Times New Roman" w:cs="Times New Roman"/>
          <w:noProof/>
          <w:color w:val="000000"/>
          <w:sz w:val="22"/>
        </w:rPr>
      </w:pPr>
    </w:p>
    <w:p w14:paraId="63C4C19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Navy is seeking a crash detection/recording capability to measure accelerations (notionally +/- 1000g) and angular rates (notionally +/- 2,500 deg/sec) at locations of interest distributed throughout the airframe at sample rates (notionally 20,000 samples/second) and quality necessary to reconstruct the highly kinematic environment present during mishaps. In addition, a system/sensor design, methodology, and algorithm to detect and discriminate mishaps from other events in real-time, such that active safety systems can be triggered early enough in the mishap event to improve occupant survivability and prevent inadvertent activation. The advantage of distributing sensors, including accelerometers and/or angular rate sensors, in multiple locations of interest is that accelerations and rotation rates associated with mishap detection may occur at different times throughout the airframe. Depending on crash conditions a system capable of sensing/recording at multiple locations has the potential to detect mishaps sooner than a single crash sensor, enabling timely activation of crash protection systems.</w:t>
      </w:r>
    </w:p>
    <w:p w14:paraId="0E449482" w14:textId="77777777" w:rsidR="00C9232E" w:rsidRPr="00AA7A47" w:rsidRDefault="00C9232E" w:rsidP="00C9232E">
      <w:pPr>
        <w:rPr>
          <w:rFonts w:eastAsia="Times New Roman" w:cs="Times New Roman"/>
          <w:noProof/>
          <w:color w:val="000000"/>
          <w:sz w:val="22"/>
        </w:rPr>
      </w:pPr>
    </w:p>
    <w:p w14:paraId="7801E4F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proposed system to record and detect crashes should be capable of: </w:t>
      </w:r>
    </w:p>
    <w:p w14:paraId="7BBAACBA"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recording crash accelerations and angular rates at distributed locations throughout air frame at a quality sufficient for crash reconstruction (including pre- and post-trigger data), </w:t>
      </w:r>
    </w:p>
    <w:p w14:paraId="43814E49"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discriminating mishaps from operational/landing dynamics in real-time, </w:t>
      </w:r>
    </w:p>
    <w:p w14:paraId="52A523F4"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triggering future active safety systems as early as practical during a dynamic event in order to enable effective safety system performance, </w:t>
      </w:r>
    </w:p>
    <w:p w14:paraId="246134E3"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non-volatile storage of collected mishap data (one or more events) in a single, hardened unit that is located to be readily-retrievable adjacent to an aircraft egress route after a mishap, </w:t>
      </w:r>
    </w:p>
    <w:p w14:paraId="4036BBDC"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integration into the aviation platform without  airframe modification other than physical attachment of sensors or other hardware, </w:t>
      </w:r>
    </w:p>
    <w:p w14:paraId="0ED1C722"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lastRenderedPageBreak/>
        <w:t xml:space="preserve">operation without access to aircraft power (if possible), </w:t>
      </w:r>
    </w:p>
    <w:p w14:paraId="20D11F85"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operation in the Naval aviation flight environment [Refs 3, 4], and</w:t>
      </w:r>
    </w:p>
    <w:p w14:paraId="11B305B0" w14:textId="77777777" w:rsidR="00C9232E" w:rsidRPr="00AA7A47" w:rsidRDefault="00C9232E" w:rsidP="00C34768">
      <w:pPr>
        <w:pStyle w:val="ListParagraph"/>
        <w:numPr>
          <w:ilvl w:val="0"/>
          <w:numId w:val="8"/>
        </w:numPr>
        <w:rPr>
          <w:noProof/>
          <w:color w:val="000000"/>
          <w:sz w:val="22"/>
          <w:szCs w:val="22"/>
        </w:rPr>
      </w:pPr>
      <w:r w:rsidRPr="00AA7A47">
        <w:rPr>
          <w:noProof/>
          <w:color w:val="000000"/>
          <w:sz w:val="22"/>
          <w:szCs w:val="22"/>
        </w:rPr>
        <w:t xml:space="preserve">being produced at a price target of less than $10k per unit.  </w:t>
      </w:r>
    </w:p>
    <w:p w14:paraId="1BEDF8A5" w14:textId="77777777" w:rsidR="00C9232E" w:rsidRPr="00AA7A47" w:rsidRDefault="00C9232E" w:rsidP="00C9232E">
      <w:pPr>
        <w:rPr>
          <w:rFonts w:eastAsia="Times New Roman" w:cs="Times New Roman"/>
          <w:noProof/>
          <w:color w:val="000000"/>
          <w:sz w:val="22"/>
        </w:rPr>
      </w:pPr>
    </w:p>
    <w:p w14:paraId="1368A54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designed capability does not need to include the activation of active crash protective devices; the system should simply provide a local output indicating detection of a probable mishap event. In addition, the algorithms and thresholds associated with mishap detection should be reprogrammable to accommodate a variety of future active safety systems such as restraint pretensioners or air bag systems.  </w:t>
      </w:r>
    </w:p>
    <w:p w14:paraId="3098D495" w14:textId="77777777" w:rsidR="00C9232E" w:rsidRPr="00AA7A47" w:rsidRDefault="00C9232E" w:rsidP="00C9232E">
      <w:pPr>
        <w:rPr>
          <w:rFonts w:eastAsia="Times New Roman" w:cs="Times New Roman"/>
          <w:noProof/>
          <w:color w:val="000000"/>
          <w:sz w:val="22"/>
        </w:rPr>
      </w:pPr>
    </w:p>
    <w:p w14:paraId="7220186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Notionally, the desired capability should not require access to aircraft power or recharging of batteries for 60 flight hours. Additionally, the system may not weigh more than 5 lbs. or have an overall volume of greater than 125 cubic inches.</w:t>
      </w:r>
    </w:p>
    <w:p w14:paraId="545594DD" w14:textId="77777777" w:rsidR="00C9232E" w:rsidRPr="00AA7A47" w:rsidRDefault="00C9232E" w:rsidP="00C9232E">
      <w:pPr>
        <w:rPr>
          <w:rFonts w:eastAsia="Times New Roman" w:cs="Times New Roman"/>
          <w:color w:val="000000"/>
          <w:sz w:val="22"/>
        </w:rPr>
      </w:pPr>
    </w:p>
    <w:p w14:paraId="723CD3F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develop and demonstrate feasibility of a crash recording and detection system as outlined in the Description. Identify and document the trade space associated with the proposed performance requirements, including projected system cost. Develop and determine technical feasibility of approaches that minimize airframe integration challenges (SWaP), and support implementation on legacy platforms. The Phase I effort will include prototype plans to be developed under Phase II.</w:t>
      </w:r>
    </w:p>
    <w:p w14:paraId="229C002C" w14:textId="77777777" w:rsidR="00C9232E" w:rsidRPr="00AA7A47" w:rsidRDefault="00C9232E" w:rsidP="00C9232E">
      <w:pPr>
        <w:rPr>
          <w:rFonts w:eastAsia="Times New Roman" w:cs="Times New Roman"/>
          <w:color w:val="000000"/>
          <w:sz w:val="22"/>
        </w:rPr>
      </w:pPr>
    </w:p>
    <w:p w14:paraId="55BF6B3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Further develop, test, and demonstrate a prototype system that is capable of achieving the requirements provided for Phase I. Perform validation and verification through a combination of analysis, laboratory testing, and potential full-scale aircraft crash testing and operational flight test.  Minimizing the potential for false crash detection events, which could potentially result in the activation of active safety systems, is a focus.</w:t>
      </w:r>
    </w:p>
    <w:p w14:paraId="2B8188B5" w14:textId="77777777" w:rsidR="00C9232E" w:rsidRPr="00AA7A47" w:rsidRDefault="00C9232E" w:rsidP="00C9232E">
      <w:pPr>
        <w:rPr>
          <w:rFonts w:eastAsia="Times New Roman" w:cs="Times New Roman"/>
          <w:color w:val="000000"/>
          <w:sz w:val="22"/>
        </w:rPr>
      </w:pPr>
    </w:p>
    <w:p w14:paraId="23664C2A"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 xml:space="preserve">Complete design iteration and system testing. Mature the unit for transition to Naval Aviation platforms and commercial users. Crash sensing and recording systems capable of retrofit into aircraft have significant general and commercial aviation applications. Current “black box” or Digital Flight Data Recorder requirements only require aircraft accelerations to be measured at relatively low sample rates, which are insufficient for triggering or recording mishap dynamics. The collection of high-sample rate data would vastly improve aviation mishap investigation, and enable future crash protective technologies. This innovative system will enable rapid and more accurate accident reconstruction and facilitate a more targeted initial focus on the actual crash scenario. Over time, the collection of mishaps will begin to form a statistical basis that will allow critique and potential revision of existing regulations regarding crash injury mitigation based on real world experience. </w:t>
      </w:r>
    </w:p>
    <w:p w14:paraId="2684BAE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In addition, retrofit capable active safety systems (such as inflatable restraints or pretensioning restraint retractors) typically rely on local measurement of system accelerations. The advantage of an integrated, distributed system that measures accelerations at multiple points on the airframe is the potential for earlier crash detection and improved mishap survivability. The technology that would be developed and matured during this effort has the potential to benefit general and commercial aviation.</w:t>
      </w:r>
    </w:p>
    <w:p w14:paraId="4D02187D" w14:textId="77777777" w:rsidR="00C9232E" w:rsidRPr="00AA7A47" w:rsidRDefault="00C9232E" w:rsidP="00C9232E">
      <w:pPr>
        <w:rPr>
          <w:rFonts w:eastAsia="Times New Roman" w:cs="Times New Roman"/>
          <w:color w:val="000000"/>
          <w:sz w:val="22"/>
        </w:rPr>
      </w:pPr>
    </w:p>
    <w:p w14:paraId="6472499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F7D8843" w14:textId="27AE9CA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Hall, B., Willis, R. &amp; Bark, L. “Demonstration of Aviation Mishap Reconstruction with On-Board Crash Recording Technologies.” American Helicopter Society, Forum 73, 2017. </w:t>
      </w:r>
      <w:hyperlink r:id="rId51" w:history="1">
        <w:r w:rsidR="0023410C" w:rsidRPr="007743A7">
          <w:rPr>
            <w:rStyle w:val="Hyperlink"/>
            <w:rFonts w:eastAsia="Times New Roman" w:cs="Times New Roman"/>
            <w:noProof/>
            <w:sz w:val="22"/>
          </w:rPr>
          <w:t>https://vtol.org/store/product/demonstration-of-aviation-mishap-reconstruction-with-onboard-crash-recording-technologies-12040.cfm</w:t>
        </w:r>
      </w:hyperlink>
      <w:r w:rsidR="0023410C">
        <w:rPr>
          <w:rFonts w:eastAsia="Times New Roman" w:cs="Times New Roman"/>
          <w:noProof/>
          <w:color w:val="000000"/>
          <w:sz w:val="22"/>
        </w:rPr>
        <w:t xml:space="preserve"> </w:t>
      </w:r>
    </w:p>
    <w:p w14:paraId="4B54AE58" w14:textId="77777777" w:rsidR="00C73536" w:rsidRDefault="00C73536" w:rsidP="00C9232E">
      <w:pPr>
        <w:rPr>
          <w:rFonts w:eastAsia="Times New Roman" w:cs="Times New Roman"/>
          <w:noProof/>
          <w:color w:val="000000"/>
          <w:sz w:val="22"/>
        </w:rPr>
      </w:pPr>
    </w:p>
    <w:p w14:paraId="5DE12F7B" w14:textId="2807D33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“Aircraft Crash Survival Design Guide (Vol. I, Publication No. USAAVSCOM TR-89-D-22A).” Applied Technology Laboratory, AVRADCOM, Simula Inc.: Fort Eustis, VA,1989. </w:t>
      </w:r>
      <w:hyperlink r:id="rId52" w:history="1">
        <w:r w:rsidR="0023410C" w:rsidRPr="007743A7">
          <w:rPr>
            <w:rStyle w:val="Hyperlink"/>
            <w:rFonts w:eastAsia="Times New Roman" w:cs="Times New Roman"/>
            <w:noProof/>
            <w:sz w:val="22"/>
          </w:rPr>
          <w:t>https://apps.dtic.mil/dtic/tr/fulltext/u2/a218434.pdf</w:t>
        </w:r>
      </w:hyperlink>
      <w:r w:rsidRPr="00AA7A47">
        <w:rPr>
          <w:rFonts w:eastAsia="Times New Roman" w:cs="Times New Roman"/>
          <w:noProof/>
          <w:color w:val="000000"/>
          <w:sz w:val="22"/>
        </w:rPr>
        <w:t>.</w:t>
      </w:r>
      <w:r w:rsidR="0023410C">
        <w:rPr>
          <w:rFonts w:eastAsia="Times New Roman" w:cs="Times New Roman"/>
          <w:noProof/>
          <w:color w:val="000000"/>
          <w:sz w:val="22"/>
        </w:rPr>
        <w:t xml:space="preserve"> </w:t>
      </w:r>
    </w:p>
    <w:p w14:paraId="5033F3FA" w14:textId="77777777" w:rsidR="00C73536" w:rsidRDefault="00C73536" w:rsidP="00C9232E">
      <w:pPr>
        <w:rPr>
          <w:rFonts w:eastAsia="Times New Roman" w:cs="Times New Roman"/>
          <w:noProof/>
          <w:color w:val="000000"/>
          <w:sz w:val="22"/>
        </w:rPr>
      </w:pPr>
    </w:p>
    <w:p w14:paraId="72606623" w14:textId="5E767C48" w:rsidR="0059787C"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3. MIL-STD-810H, DEPARTMENT OF DEFENSE TEST METHOD STANDARD: ENVIRONMENTAL ENGINEERING CONSIDERATIONS AND LABORATORY TESTS (31-JAN-2019). </w:t>
      </w:r>
      <w:hyperlink r:id="rId53" w:history="1">
        <w:r w:rsidR="0023410C" w:rsidRPr="007743A7">
          <w:rPr>
            <w:rStyle w:val="Hyperlink"/>
            <w:rFonts w:eastAsia="Times New Roman" w:cs="Times New Roman"/>
            <w:noProof/>
            <w:sz w:val="22"/>
          </w:rPr>
          <w:t>http://everyspec.com/MIL-STD/MIL-STD-0800-0899/MIL-STD-810H_55998/</w:t>
        </w:r>
      </w:hyperlink>
      <w:r w:rsidR="0023410C">
        <w:rPr>
          <w:rFonts w:eastAsia="Times New Roman" w:cs="Times New Roman"/>
          <w:noProof/>
          <w:color w:val="000000"/>
          <w:sz w:val="22"/>
        </w:rPr>
        <w:t xml:space="preserve"> </w:t>
      </w:r>
    </w:p>
    <w:p w14:paraId="667F42E0" w14:textId="77777777" w:rsidR="0059787C" w:rsidRDefault="0059787C" w:rsidP="00C9232E">
      <w:pPr>
        <w:rPr>
          <w:rFonts w:eastAsia="Times New Roman" w:cs="Times New Roman"/>
          <w:noProof/>
          <w:color w:val="000000"/>
          <w:sz w:val="22"/>
        </w:rPr>
      </w:pPr>
    </w:p>
    <w:p w14:paraId="22E763EB" w14:textId="2174CD5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MIL-STD-461G, DEPARTMENT OF DEFENSE INTERFACE STANDARD: REQUIREMENTS FOR THE CONTROL OF ELECTROMAGNETIC INTERFERENCE CHARACTERISTICS OF SUBSYSTEMS AND EQUIPMENT (11-DEC-2015). </w:t>
      </w:r>
      <w:hyperlink r:id="rId54" w:history="1">
        <w:r w:rsidR="0023410C" w:rsidRPr="007743A7">
          <w:rPr>
            <w:rStyle w:val="Hyperlink"/>
            <w:rFonts w:eastAsia="Times New Roman" w:cs="Times New Roman"/>
            <w:noProof/>
            <w:sz w:val="22"/>
          </w:rPr>
          <w:t>http://everyspec.com/MIL-STD/MIL-STD-0300-0499/MIL-STD-461G_53571/</w:t>
        </w:r>
      </w:hyperlink>
      <w:r w:rsidR="0023410C">
        <w:rPr>
          <w:rFonts w:eastAsia="Times New Roman" w:cs="Times New Roman"/>
          <w:noProof/>
          <w:color w:val="000000"/>
          <w:sz w:val="22"/>
        </w:rPr>
        <w:t xml:space="preserve"> </w:t>
      </w:r>
    </w:p>
    <w:p w14:paraId="21F0E6DF" w14:textId="77777777" w:rsidR="00C9232E" w:rsidRPr="00AA7A47" w:rsidRDefault="00C9232E" w:rsidP="00C9232E">
      <w:pPr>
        <w:rPr>
          <w:rFonts w:eastAsia="Times New Roman" w:cs="Times New Roman"/>
          <w:color w:val="000000"/>
          <w:sz w:val="22"/>
        </w:rPr>
      </w:pPr>
    </w:p>
    <w:p w14:paraId="31D5AAD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Crash Protection, Data Acquisition, Safety Systems, Mishap, Crash, Event Recorder</w:t>
      </w:r>
    </w:p>
    <w:p w14:paraId="6D07CBED" w14:textId="77777777" w:rsidR="00C9232E" w:rsidRPr="00AA7A47" w:rsidRDefault="00C9232E" w:rsidP="00C9232E">
      <w:pPr>
        <w:rPr>
          <w:rFonts w:eastAsia="Times New Roman" w:cs="Times New Roman"/>
          <w:color w:val="000000"/>
          <w:sz w:val="22"/>
        </w:rPr>
      </w:pPr>
    </w:p>
    <w:p w14:paraId="1406B581" w14:textId="77777777" w:rsidR="00C9232E" w:rsidRPr="00AA7A47" w:rsidRDefault="00C9232E" w:rsidP="00C9232E">
      <w:pPr>
        <w:tabs>
          <w:tab w:val="left" w:pos="1260"/>
        </w:tabs>
        <w:ind w:left="270"/>
        <w:rPr>
          <w:rFonts w:eastAsia="Times New Roman" w:cs="Times New Roman"/>
          <w:color w:val="000000"/>
          <w:sz w:val="22"/>
        </w:rPr>
      </w:pPr>
    </w:p>
    <w:p w14:paraId="606DDACC" w14:textId="77777777" w:rsidR="00C9232E" w:rsidRPr="00AA7A47" w:rsidRDefault="00C9232E" w:rsidP="00C9232E">
      <w:pPr>
        <w:tabs>
          <w:tab w:val="left" w:pos="1260"/>
        </w:tabs>
        <w:ind w:left="270"/>
        <w:rPr>
          <w:rFonts w:eastAsia="Times New Roman" w:cs="Times New Roman"/>
          <w:color w:val="000000"/>
          <w:sz w:val="22"/>
        </w:rPr>
      </w:pPr>
    </w:p>
    <w:p w14:paraId="716FA224" w14:textId="77777777" w:rsidR="00C9232E" w:rsidRPr="00AA7A47" w:rsidRDefault="00C9232E" w:rsidP="00C9232E">
      <w:pPr>
        <w:tabs>
          <w:tab w:val="left" w:pos="1260"/>
        </w:tabs>
        <w:ind w:left="270"/>
        <w:rPr>
          <w:rFonts w:eastAsia="Times New Roman" w:cs="Times New Roman"/>
          <w:color w:val="000000"/>
          <w:sz w:val="22"/>
        </w:rPr>
      </w:pPr>
    </w:p>
    <w:p w14:paraId="62AC3DB5" w14:textId="77777777" w:rsidR="00C9232E" w:rsidRPr="00AA7A47" w:rsidRDefault="00C9232E" w:rsidP="00C9232E">
      <w:pPr>
        <w:rPr>
          <w:rFonts w:eastAsia="Times New Roman" w:cs="Times New Roman"/>
          <w:color w:val="000000"/>
          <w:sz w:val="22"/>
        </w:rPr>
      </w:pPr>
    </w:p>
    <w:p w14:paraId="04C821B3" w14:textId="77777777" w:rsidR="00C9232E" w:rsidRPr="00AA7A47" w:rsidRDefault="00C9232E" w:rsidP="00C9232E">
      <w:pPr>
        <w:rPr>
          <w:rFonts w:eastAsia="Times New Roman" w:cs="Times New Roman"/>
          <w:color w:val="000000"/>
          <w:sz w:val="22"/>
        </w:rPr>
      </w:pPr>
    </w:p>
    <w:p w14:paraId="0CC17472"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749CF787"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N202-097</w:t>
      </w:r>
      <w:r w:rsidRPr="00AA7A47">
        <w:rPr>
          <w:rFonts w:eastAsia="Times New Roman" w:cs="Times New Roman"/>
          <w:color w:val="000000"/>
          <w:sz w:val="22"/>
        </w:rPr>
        <w:tab/>
        <w:t xml:space="preserve">TITLE: </w:t>
      </w:r>
      <w:r w:rsidRPr="00AA7A47">
        <w:rPr>
          <w:rFonts w:eastAsia="Times New Roman" w:cs="Times New Roman"/>
          <w:noProof/>
          <w:color w:val="000000"/>
          <w:sz w:val="22"/>
        </w:rPr>
        <w:t>Innovative Aerial Refueling Hose Stowage Methods</w:t>
      </w:r>
    </w:p>
    <w:p w14:paraId="44D0E623" w14:textId="77777777" w:rsidR="00C9232E" w:rsidRPr="00AA7A47" w:rsidRDefault="00C9232E" w:rsidP="00C9232E">
      <w:pPr>
        <w:rPr>
          <w:rFonts w:eastAsia="Times New Roman" w:cs="Times New Roman"/>
          <w:color w:val="000000"/>
          <w:sz w:val="22"/>
        </w:rPr>
      </w:pPr>
    </w:p>
    <w:p w14:paraId="1D199C5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7A9078D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1378E73D" w14:textId="77777777" w:rsidR="00C9232E" w:rsidRPr="00AA7A47" w:rsidRDefault="00C9232E" w:rsidP="00C9232E">
      <w:pPr>
        <w:rPr>
          <w:rFonts w:eastAsia="Times New Roman" w:cs="Times New Roman"/>
          <w:noProof/>
          <w:color w:val="000000"/>
          <w:sz w:val="22"/>
        </w:rPr>
      </w:pPr>
    </w:p>
    <w:p w14:paraId="204BD0E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798E051" w14:textId="77777777" w:rsidR="00C9232E" w:rsidRPr="00AA7A47" w:rsidRDefault="00C9232E" w:rsidP="00C9232E">
      <w:pPr>
        <w:rPr>
          <w:rFonts w:eastAsia="Times New Roman" w:cs="Times New Roman"/>
          <w:noProof/>
          <w:color w:val="000000"/>
          <w:sz w:val="22"/>
        </w:rPr>
      </w:pPr>
    </w:p>
    <w:p w14:paraId="5EE24D1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an innovative packaging and/or construction method for stowing aerial refueling hoses that reduces the space required to stow the hose on tanker aircraft, while maintaining fuel flow and structural performance requirements.</w:t>
      </w:r>
    </w:p>
    <w:p w14:paraId="2AB3E750" w14:textId="77777777" w:rsidR="00C9232E" w:rsidRPr="00AA7A47" w:rsidRDefault="00C9232E" w:rsidP="00C9232E">
      <w:pPr>
        <w:rPr>
          <w:rFonts w:eastAsia="Times New Roman" w:cs="Times New Roman"/>
          <w:color w:val="000000"/>
          <w:sz w:val="22"/>
        </w:rPr>
      </w:pPr>
    </w:p>
    <w:p w14:paraId="52BDA2E1"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Aerial refueling (AR) is the process of transferring fuel from one aircraft to another during flight. The AR process enables important benefits beyond simply extending the range and the time the receiving aircraft can remain airborne, such as reducing fuel weight during takeoff, in turn, providing capabilities for shorter take-off rolls and greater takeoff payloads. The United States Navy (USN) primarily employs probe-and-drogue AR systems on its tanker and receiver aircraft. For organic carrier-based tankers, the USN utilizes the Aerial Refueling Store (ARS) 31-301-48310 or “buddystore” on the F/A-18 tanker, which is also a probe-and-drogue system. In these systems, a drogue is extended from the tanker on a length of refueling hose. The drogue provides stabilization and houses the reception coupling to which the receiver aircraft engages in flight. As new tanker and receiver aircraft come online, the need for longer hoses along with the need for more aerodynamic (lower drag) aerial refueling stores is forcing the USN to evaluate new methods of storing and extending the refueling hoses in tanker aircraft. The goal is to reduce the space required to stow the hose (which will allow more hose in a same space envelope or a smaller store design) while not negatively impacting fuel flow performance. The hose must be compatible with the USN ARS and the receiver end of the hose must be compatible with the coupling interface as defined in MIL-PRF-81975 [Ref 3].</w:t>
      </w:r>
    </w:p>
    <w:p w14:paraId="501E8221" w14:textId="77777777" w:rsidR="00C9232E" w:rsidRPr="00AA7A47" w:rsidRDefault="00C9232E" w:rsidP="00C9232E">
      <w:pPr>
        <w:rPr>
          <w:rFonts w:eastAsia="Times New Roman" w:cs="Times New Roman"/>
          <w:noProof/>
          <w:color w:val="000000"/>
          <w:sz w:val="22"/>
        </w:rPr>
      </w:pPr>
    </w:p>
    <w:p w14:paraId="3D73178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Key areas of performance to assess will be the ability to react/absorb the load during receiver engagements up to 10 feet/second and to handle the repeated stresses of extensions, retractions, stowage, and engagements. Current cycle requirement is 500 cycles without replacement. The system should include the ability to jettison (cut) the hose in flight as a failure mode. Fuel flow performance of up to 350 Gallons per Minute (GPM) (at 60 Pounds per Square Inch (PSI)) should not be impacted and should be assessed. The design should not increase fuel flow velocities to the point where surge pressure will exceed 120 PSI. Keeping velocities below 20 feet/second is generally accepted standard to minimize effects associated with static electricity. The proposer will develop an initial drawing package; and assess manufacturing plans and costs. The proposer may utilize the USN’s refueling probe impact test stand to conduct simulated engagements.</w:t>
      </w:r>
    </w:p>
    <w:p w14:paraId="0359C92C" w14:textId="77777777" w:rsidR="00C9232E" w:rsidRPr="00AA7A47" w:rsidRDefault="00C9232E" w:rsidP="00C9232E">
      <w:pPr>
        <w:rPr>
          <w:rFonts w:eastAsia="Times New Roman" w:cs="Times New Roman"/>
          <w:noProof/>
          <w:color w:val="000000"/>
          <w:sz w:val="22"/>
        </w:rPr>
      </w:pPr>
    </w:p>
    <w:p w14:paraId="2687428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design and analysis produced should account for the full envelope of refueling conditions:</w:t>
      </w:r>
    </w:p>
    <w:p w14:paraId="2E0FE898" w14:textId="77777777" w:rsidR="00C9232E" w:rsidRPr="00AA7A47" w:rsidRDefault="00C9232E" w:rsidP="00C34768">
      <w:pPr>
        <w:pStyle w:val="ListParagraph"/>
        <w:numPr>
          <w:ilvl w:val="0"/>
          <w:numId w:val="9"/>
        </w:numPr>
        <w:rPr>
          <w:noProof/>
          <w:color w:val="000000"/>
          <w:sz w:val="22"/>
          <w:szCs w:val="22"/>
        </w:rPr>
      </w:pPr>
      <w:r w:rsidRPr="00AA7A47">
        <w:rPr>
          <w:noProof/>
          <w:color w:val="000000"/>
          <w:sz w:val="22"/>
          <w:szCs w:val="22"/>
        </w:rPr>
        <w:t>Altitude: Sea Level to 30,000 Ft</w:t>
      </w:r>
    </w:p>
    <w:p w14:paraId="335AE7DC" w14:textId="77777777" w:rsidR="00C9232E" w:rsidRPr="00AA7A47" w:rsidRDefault="00C9232E" w:rsidP="00C34768">
      <w:pPr>
        <w:pStyle w:val="ListParagraph"/>
        <w:numPr>
          <w:ilvl w:val="0"/>
          <w:numId w:val="9"/>
        </w:numPr>
        <w:rPr>
          <w:noProof/>
          <w:color w:val="000000"/>
          <w:sz w:val="22"/>
          <w:szCs w:val="22"/>
        </w:rPr>
      </w:pPr>
      <w:r w:rsidRPr="00AA7A47">
        <w:rPr>
          <w:noProof/>
          <w:color w:val="000000"/>
          <w:sz w:val="22"/>
          <w:szCs w:val="22"/>
        </w:rPr>
        <w:t>Airspeed: 180-300 Knots Calibrated Air Speed (KCAS)</w:t>
      </w:r>
    </w:p>
    <w:p w14:paraId="417DB831" w14:textId="77777777" w:rsidR="00C9232E" w:rsidRPr="00AA7A47" w:rsidRDefault="00C9232E" w:rsidP="00C34768">
      <w:pPr>
        <w:pStyle w:val="ListParagraph"/>
        <w:numPr>
          <w:ilvl w:val="0"/>
          <w:numId w:val="9"/>
        </w:numPr>
        <w:rPr>
          <w:noProof/>
          <w:color w:val="000000"/>
          <w:sz w:val="22"/>
          <w:szCs w:val="22"/>
        </w:rPr>
      </w:pPr>
      <w:r w:rsidRPr="00AA7A47">
        <w:rPr>
          <w:noProof/>
          <w:color w:val="000000"/>
          <w:sz w:val="22"/>
          <w:szCs w:val="22"/>
        </w:rPr>
        <w:t>Environment: Day, Night, All Weather</w:t>
      </w:r>
    </w:p>
    <w:p w14:paraId="0F0FFE67" w14:textId="77777777" w:rsidR="00C9232E" w:rsidRPr="00AA7A47" w:rsidRDefault="00C9232E" w:rsidP="00C34768">
      <w:pPr>
        <w:pStyle w:val="ListParagraph"/>
        <w:numPr>
          <w:ilvl w:val="0"/>
          <w:numId w:val="9"/>
        </w:numPr>
        <w:rPr>
          <w:noProof/>
          <w:color w:val="000000"/>
          <w:sz w:val="22"/>
          <w:szCs w:val="22"/>
        </w:rPr>
      </w:pPr>
      <w:r w:rsidRPr="00AA7A47">
        <w:rPr>
          <w:noProof/>
          <w:color w:val="000000"/>
          <w:sz w:val="22"/>
          <w:szCs w:val="22"/>
        </w:rPr>
        <w:t>Receiver Engagement Speeds: 2 to 10 feet/second</w:t>
      </w:r>
    </w:p>
    <w:p w14:paraId="739F7DA5" w14:textId="77777777" w:rsidR="00C9232E" w:rsidRPr="00AA7A47" w:rsidRDefault="00C9232E" w:rsidP="00C34768">
      <w:pPr>
        <w:pStyle w:val="ListParagraph"/>
        <w:numPr>
          <w:ilvl w:val="0"/>
          <w:numId w:val="9"/>
        </w:numPr>
        <w:rPr>
          <w:color w:val="000000"/>
          <w:sz w:val="22"/>
          <w:szCs w:val="22"/>
        </w:rPr>
      </w:pPr>
      <w:r w:rsidRPr="00AA7A47">
        <w:rPr>
          <w:noProof/>
          <w:color w:val="000000"/>
          <w:sz w:val="22"/>
          <w:szCs w:val="22"/>
        </w:rPr>
        <w:t>Structural requirements of MIL-H-4495 [Ref 2]</w:t>
      </w:r>
    </w:p>
    <w:p w14:paraId="48A4270A" w14:textId="77777777" w:rsidR="00C9232E" w:rsidRPr="00AA7A47" w:rsidRDefault="00C9232E" w:rsidP="00C9232E">
      <w:pPr>
        <w:rPr>
          <w:rFonts w:eastAsia="Times New Roman" w:cs="Times New Roman"/>
          <w:color w:val="000000"/>
          <w:sz w:val="22"/>
        </w:rPr>
      </w:pPr>
    </w:p>
    <w:p w14:paraId="5C7A8D7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develop and demonstrate feasibility of proposed concept for use on the existing USN “buddystore”. Validation should be in the form of modeling and simulation, and/or lab testing. The Phase I effort will include prototype plans to be developed under Phase II.</w:t>
      </w:r>
    </w:p>
    <w:p w14:paraId="6491D81C" w14:textId="77777777" w:rsidR="00C9232E" w:rsidRPr="00AA7A47" w:rsidRDefault="00C9232E" w:rsidP="00C9232E">
      <w:pPr>
        <w:rPr>
          <w:rFonts w:eastAsia="Times New Roman" w:cs="Times New Roman"/>
          <w:color w:val="000000"/>
          <w:sz w:val="22"/>
        </w:rPr>
      </w:pPr>
    </w:p>
    <w:p w14:paraId="4A1C87C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the concept proposed in Phase I. Define a complete set of detailed design/performance specifications for the new system to use for validation. Build a full-scale prototype and coupon test articles to assess strength, fatigue, fuel flow/pressure, and hose reel operation and engagement performance. Hose jettison analysis should be refined and/or tested.</w:t>
      </w:r>
    </w:p>
    <w:p w14:paraId="4390F24C" w14:textId="77777777" w:rsidR="00C9232E" w:rsidRPr="00AA7A47" w:rsidRDefault="00C9232E" w:rsidP="00C9232E">
      <w:pPr>
        <w:rPr>
          <w:rFonts w:eastAsia="Times New Roman" w:cs="Times New Roman"/>
          <w:color w:val="000000"/>
          <w:sz w:val="22"/>
        </w:rPr>
      </w:pPr>
    </w:p>
    <w:p w14:paraId="2AAC18C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Mature testing in flight on a tanker aircraft. Conduct Receiver Engagements to demonstrate the complete envelope, and complete component qualification to ensure design is ready for the fleet. Perform testing and transition developed technology to appropriate platforms and end users. The commercial aerial refueling industry would benefit from successful technology development.</w:t>
      </w:r>
    </w:p>
    <w:p w14:paraId="273ED1CD" w14:textId="77777777" w:rsidR="00C9232E" w:rsidRPr="00AA7A47" w:rsidRDefault="00C9232E" w:rsidP="00C9232E">
      <w:pPr>
        <w:rPr>
          <w:rFonts w:eastAsia="Times New Roman" w:cs="Times New Roman"/>
          <w:color w:val="000000"/>
          <w:sz w:val="22"/>
        </w:rPr>
      </w:pPr>
    </w:p>
    <w:p w14:paraId="30035A9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BB7711C" w14:textId="14D9DCB2"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“NATO Standard ATP 3.3.4.2, Air-to-Air Refueling Edition D, Version 1 April 2019.” </w:t>
      </w:r>
      <w:hyperlink r:id="rId55" w:history="1">
        <w:r w:rsidR="00336127" w:rsidRPr="007743A7">
          <w:rPr>
            <w:rStyle w:val="Hyperlink"/>
            <w:rFonts w:eastAsia="Times New Roman" w:cs="Times New Roman"/>
            <w:noProof/>
            <w:sz w:val="22"/>
          </w:rPr>
          <w:t>https://standards.globalspec.com/std/13308207/ATP-3.3.4.2</w:t>
        </w:r>
      </w:hyperlink>
      <w:r w:rsidR="00336127">
        <w:rPr>
          <w:rFonts w:eastAsia="Times New Roman" w:cs="Times New Roman"/>
          <w:noProof/>
          <w:color w:val="000000"/>
          <w:sz w:val="22"/>
        </w:rPr>
        <w:t xml:space="preserve"> </w:t>
      </w:r>
    </w:p>
    <w:p w14:paraId="5A9B59F2" w14:textId="77777777" w:rsidR="001C6139" w:rsidRDefault="001C6139" w:rsidP="00C9232E">
      <w:pPr>
        <w:rPr>
          <w:rFonts w:eastAsia="Times New Roman" w:cs="Times New Roman"/>
          <w:noProof/>
          <w:color w:val="000000"/>
          <w:sz w:val="22"/>
        </w:rPr>
      </w:pPr>
    </w:p>
    <w:p w14:paraId="177AE444" w14:textId="7B4E439E"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“NPFC - MIL-H-4495 HOSE ASSEMBLY, RUBBER, AERIAL REFUELING (10 MAY 1985).” </w:t>
      </w:r>
      <w:hyperlink r:id="rId56" w:history="1">
        <w:r w:rsidR="00336127" w:rsidRPr="007743A7">
          <w:rPr>
            <w:rStyle w:val="Hyperlink"/>
            <w:rFonts w:eastAsia="Times New Roman" w:cs="Times New Roman"/>
            <w:noProof/>
            <w:sz w:val="22"/>
          </w:rPr>
          <w:t>https://standards.globalspec.com/std/929286/MIL-H-4495</w:t>
        </w:r>
      </w:hyperlink>
      <w:r w:rsidR="00336127">
        <w:rPr>
          <w:rFonts w:eastAsia="Times New Roman" w:cs="Times New Roman"/>
          <w:noProof/>
          <w:color w:val="000000"/>
          <w:sz w:val="22"/>
        </w:rPr>
        <w:t xml:space="preserve"> </w:t>
      </w:r>
    </w:p>
    <w:p w14:paraId="037E5676" w14:textId="77777777" w:rsidR="001C6139" w:rsidRDefault="001C6139" w:rsidP="00C9232E">
      <w:pPr>
        <w:rPr>
          <w:rFonts w:eastAsia="Times New Roman" w:cs="Times New Roman"/>
          <w:noProof/>
          <w:color w:val="000000"/>
          <w:sz w:val="22"/>
        </w:rPr>
      </w:pPr>
    </w:p>
    <w:p w14:paraId="6093B4CE" w14:textId="6D8D3C4A"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3. MIL-PRF-81975C, PERFORMANCE SPECIFICATION: COUPLINGS, REGULATED, AERIAL PRESSURE REFUELING TYPE MA-2, TYPE MA-3 AND TYPE MA-4 (22-JAN-2008)</w:t>
      </w:r>
      <w:r w:rsidR="00336127">
        <w:rPr>
          <w:rFonts w:eastAsia="Times New Roman" w:cs="Times New Roman"/>
          <w:noProof/>
          <w:color w:val="000000"/>
          <w:sz w:val="22"/>
        </w:rPr>
        <w:t xml:space="preserve"> </w:t>
      </w:r>
    </w:p>
    <w:p w14:paraId="1D8C3434" w14:textId="77777777" w:rsidR="00C9232E" w:rsidRPr="00AA7A47" w:rsidRDefault="00C9232E" w:rsidP="00C9232E">
      <w:pPr>
        <w:rPr>
          <w:rFonts w:eastAsia="Times New Roman" w:cs="Times New Roman"/>
          <w:color w:val="000000"/>
          <w:sz w:val="22"/>
        </w:rPr>
      </w:pPr>
    </w:p>
    <w:p w14:paraId="26BB81E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Aerial Refueling, Refueling Hose, ARS, Refueling Store, Rubber Hoses, Composite Hoses, Flexible Hoses</w:t>
      </w:r>
    </w:p>
    <w:p w14:paraId="0273AB61" w14:textId="77777777" w:rsidR="00C9232E" w:rsidRPr="00AA7A47" w:rsidRDefault="00C9232E" w:rsidP="00C9232E">
      <w:pPr>
        <w:rPr>
          <w:rFonts w:eastAsia="Times New Roman" w:cs="Times New Roman"/>
          <w:color w:val="000000"/>
          <w:sz w:val="22"/>
        </w:rPr>
      </w:pPr>
    </w:p>
    <w:p w14:paraId="7CF5CFFD" w14:textId="77777777" w:rsidR="00C9232E" w:rsidRPr="00AA7A47" w:rsidRDefault="00C9232E" w:rsidP="00C9232E">
      <w:pPr>
        <w:tabs>
          <w:tab w:val="left" w:pos="1260"/>
        </w:tabs>
        <w:ind w:left="270"/>
        <w:rPr>
          <w:rFonts w:eastAsia="Times New Roman" w:cs="Times New Roman"/>
          <w:color w:val="000000"/>
          <w:sz w:val="22"/>
        </w:rPr>
      </w:pPr>
    </w:p>
    <w:p w14:paraId="7D3920B5" w14:textId="77777777" w:rsidR="00C9232E" w:rsidRPr="00AA7A47" w:rsidRDefault="00C9232E" w:rsidP="00C9232E">
      <w:pPr>
        <w:tabs>
          <w:tab w:val="left" w:pos="1260"/>
        </w:tabs>
        <w:ind w:left="270"/>
        <w:rPr>
          <w:rFonts w:eastAsia="Times New Roman" w:cs="Times New Roman"/>
          <w:color w:val="000000"/>
          <w:sz w:val="22"/>
        </w:rPr>
      </w:pPr>
    </w:p>
    <w:p w14:paraId="13A8AD14" w14:textId="77777777" w:rsidR="00C9232E" w:rsidRPr="00AA7A47" w:rsidRDefault="00C9232E" w:rsidP="00C9232E">
      <w:pPr>
        <w:tabs>
          <w:tab w:val="left" w:pos="1260"/>
        </w:tabs>
        <w:ind w:left="270"/>
        <w:rPr>
          <w:rFonts w:eastAsia="Times New Roman" w:cs="Times New Roman"/>
          <w:color w:val="000000"/>
          <w:sz w:val="22"/>
        </w:rPr>
      </w:pPr>
    </w:p>
    <w:p w14:paraId="49048C57" w14:textId="77777777" w:rsidR="00C9232E" w:rsidRPr="00AA7A47" w:rsidRDefault="00C9232E" w:rsidP="00C9232E">
      <w:pPr>
        <w:rPr>
          <w:rFonts w:eastAsia="Times New Roman" w:cs="Times New Roman"/>
          <w:color w:val="000000"/>
          <w:sz w:val="22"/>
        </w:rPr>
      </w:pPr>
    </w:p>
    <w:p w14:paraId="4E88C8A9" w14:textId="77777777" w:rsidR="00C9232E" w:rsidRPr="00AA7A47" w:rsidRDefault="00C9232E" w:rsidP="00C9232E">
      <w:pPr>
        <w:rPr>
          <w:rFonts w:eastAsia="Times New Roman" w:cs="Times New Roman"/>
          <w:color w:val="000000"/>
          <w:sz w:val="22"/>
        </w:rPr>
      </w:pPr>
    </w:p>
    <w:p w14:paraId="7086DA2D"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006CE7F0"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N202-098</w:t>
      </w:r>
      <w:r w:rsidRPr="00AA7A47">
        <w:rPr>
          <w:rFonts w:eastAsia="Times New Roman" w:cs="Times New Roman"/>
          <w:color w:val="000000"/>
          <w:sz w:val="22"/>
        </w:rPr>
        <w:tab/>
        <w:t xml:space="preserve">TITLE: </w:t>
      </w:r>
      <w:r w:rsidRPr="00AA7A47">
        <w:rPr>
          <w:rFonts w:eastAsia="Times New Roman" w:cs="Times New Roman"/>
          <w:noProof/>
          <w:color w:val="000000"/>
          <w:sz w:val="22"/>
        </w:rPr>
        <w:t>Voice Recognition to Support Assessment of Cross Platform Situational Awareness and Decision Making</w:t>
      </w:r>
    </w:p>
    <w:p w14:paraId="6D0A91C4" w14:textId="77777777" w:rsidR="00C9232E" w:rsidRPr="00AA7A47" w:rsidRDefault="00C9232E" w:rsidP="00C9232E">
      <w:pPr>
        <w:rPr>
          <w:rFonts w:eastAsia="Times New Roman" w:cs="Times New Roman"/>
          <w:color w:val="000000"/>
          <w:sz w:val="22"/>
        </w:rPr>
      </w:pPr>
    </w:p>
    <w:p w14:paraId="4986F32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592B1A9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Battlespace, Human Systems</w:t>
      </w:r>
    </w:p>
    <w:p w14:paraId="65A75975" w14:textId="77777777" w:rsidR="00C9232E" w:rsidRPr="00AA7A47" w:rsidRDefault="00C9232E" w:rsidP="00C9232E">
      <w:pPr>
        <w:rPr>
          <w:rFonts w:eastAsia="Times New Roman" w:cs="Times New Roman"/>
          <w:color w:val="000000"/>
          <w:sz w:val="22"/>
        </w:rPr>
      </w:pPr>
    </w:p>
    <w:p w14:paraId="601FD87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voice recognition capability that can support analysis and debrief of Carrier Strike Group level decision making and Situational Awareness (SA).</w:t>
      </w:r>
    </w:p>
    <w:p w14:paraId="40C0037B" w14:textId="77777777" w:rsidR="00C9232E" w:rsidRPr="00AA7A47" w:rsidRDefault="00C9232E" w:rsidP="00C9232E">
      <w:pPr>
        <w:rPr>
          <w:rFonts w:eastAsia="Times New Roman" w:cs="Times New Roman"/>
          <w:color w:val="000000"/>
          <w:sz w:val="22"/>
        </w:rPr>
      </w:pPr>
    </w:p>
    <w:p w14:paraId="21524CA5"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There is a need for complex, highly coordinated, System-of-Systems, Air Defense missions and tactics cross-platform communications. The complexity of coordination associated with integrated tactics necessitates a significant amount of voice communications across the different platforms to provide SA and elicit decision-making. Communication is critical to cross platform coordination and overall tactic execution, yet it remains one of the most challenging training objectives to meet during Air Defense events. Specifically, there are challenges with recognizing when a call or request for communication has been made (i.e., at a specific point in the timeline), ensuring timeliness of communications (i.e., time to respond to a request or provide required information based on environmental cue), and providing the appropriate brevity terms and standard communications protocols. The need for timely, diagnostic feedback specific to cross-platform communications becomes critical. Current practice for assessing communications and overall performance relies solely on qualitative instructor assessments in large part due to the need to understand what is being said, and the context of the situation it is being said in. Challenges are associated with human error, manpower, and time resources required to meet training demands. In addition, debriefs can take thirty to ninety minutes to prepare, which can create potential loss of learning points. Consequently, the need for reliable (i.e., consistently, accurately captures what was said), timely (i.e., data can be synthesized and used for debrief within thirty minutes or less) and diagnostic feedback (i.e., data provided allows instructors to correlate voice communication with tactical execution to provide relevant feedback based on environmental context) for voice communication that can be standardized across platforms is important. A proof-of-concept to demonstrate the ability to create logs and a plan for prototype development and implementation and evolve into a demonstrable capability integrated into the Next Generation Threat System’s (NGTS) Analysis and Reporting Tool (ART). In order to integrate with ART, a voice tool would have to provide a parse-able “utterance log” in a compatible format (e.g., json, xml, hdf5) that could log individual utterances with metadata (e.g., start/end time, sender/receiver, text transcript).  </w:t>
      </w:r>
    </w:p>
    <w:p w14:paraId="6D5309F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25B13EA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development of an innovative speech recognition tool for cross-platform SA and decision-making will benefit the Fleet by significantly decreasing instructor workload, reducing human error and manpower time requirements, and automatically provide instructors with information on communication protocol adherence and timeliness to improve SA and increase debriefing capabilities. The tool should analyze virtual, and eventually live training events, using speech to text (STT) technologies and natural language processing (NLP) to verify automatically the semantic content of utterances associated with relevant tactical communications. It should provide a parse-able “utterance log” of these utterances to include things like start/end time, sender/receiver, text that accurately captures voice communication, etc., allowing the communications data to be linked to objectively captured contextual cues within the tactical environment (e.g., threat location). Applying this type of technology to Air Defense integrated training will enhance assessment by providing more robust and accurate assessments. The tool will allow for natural, free flowing interactions between platforms, which will result in speech recognition and understanding among groups within context. Additionally, the tool should be designed and developed to include debrief visualizations that support diagnosis and feedback of voice communication tied to context in the tactical environment at the time of the communication. Visualizations should also account for timeliness and accuracy. The tool should be easy to use as determined by usability and technology evaluations that should be documented. </w:t>
      </w:r>
    </w:p>
    <w:p w14:paraId="1BBCD633" w14:textId="77777777" w:rsidR="00C9232E" w:rsidRPr="00AA7A47" w:rsidRDefault="00C9232E" w:rsidP="00C9232E">
      <w:pPr>
        <w:rPr>
          <w:rFonts w:eastAsia="Times New Roman" w:cs="Times New Roman"/>
          <w:noProof/>
          <w:color w:val="000000"/>
          <w:sz w:val="22"/>
        </w:rPr>
      </w:pPr>
    </w:p>
    <w:p w14:paraId="367213F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1755987" w14:textId="77777777" w:rsidR="00C9232E" w:rsidRPr="00AA7A47" w:rsidRDefault="00C9232E" w:rsidP="00C9232E">
      <w:pPr>
        <w:rPr>
          <w:rFonts w:eastAsia="Times New Roman" w:cs="Times New Roman"/>
          <w:color w:val="000000"/>
          <w:sz w:val="22"/>
        </w:rPr>
      </w:pPr>
    </w:p>
    <w:p w14:paraId="1DF8659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Define and develop a concept for standalone, voice assessment capability for a single Air Defense platform. Demonstrate feasibility of application into the larger, integrated training system. The concept should include a plan for integration into the NGTS ART to allow voice feedback/assessment to be aligned with unclassified performance data from NGTS Ch.10 log files (to be provided as GFI) and include assessment visualizations to support diagnosis and feedback. The Phase I effort will include prototype plans to be developed under Phase II.</w:t>
      </w:r>
    </w:p>
    <w:p w14:paraId="5D5EFC25" w14:textId="77777777" w:rsidR="00C9232E" w:rsidRPr="00AA7A47" w:rsidRDefault="00C9232E" w:rsidP="00C9232E">
      <w:pPr>
        <w:rPr>
          <w:rFonts w:eastAsia="Times New Roman" w:cs="Times New Roman"/>
          <w:color w:val="000000"/>
          <w:sz w:val="22"/>
        </w:rPr>
      </w:pPr>
    </w:p>
    <w:p w14:paraId="1FFBF58E"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Develop and demonstrate a prototype voice assessment capability for a single Air Defense platform through execution of the integration plan developed in Phase I. Integration with NGTS ART will enhance the capability by aligning voice feedback with performance data already collected by the ART. Design and develop the prototype to include visualizations, usability documentation, and technology evaluation. </w:t>
      </w:r>
    </w:p>
    <w:p w14:paraId="20080175" w14:textId="77777777" w:rsidR="00C9232E" w:rsidRPr="00AA7A47" w:rsidRDefault="00C9232E" w:rsidP="00C9232E">
      <w:pPr>
        <w:rPr>
          <w:rFonts w:eastAsia="Times New Roman" w:cs="Times New Roman"/>
          <w:noProof/>
          <w:color w:val="000000"/>
          <w:sz w:val="22"/>
        </w:rPr>
      </w:pPr>
    </w:p>
    <w:p w14:paraId="6E2CBA2C"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44EF0D90" w14:textId="77777777" w:rsidR="00C9232E" w:rsidRPr="00AA7A47" w:rsidRDefault="00C9232E" w:rsidP="00C9232E">
      <w:pPr>
        <w:rPr>
          <w:rFonts w:eastAsia="Times New Roman" w:cs="Times New Roman"/>
          <w:color w:val="000000"/>
          <w:sz w:val="22"/>
        </w:rPr>
      </w:pPr>
    </w:p>
    <w:p w14:paraId="21E83697"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Extend functionality to multiple platforms integrated in NGTS ART. Final testing and transition will include regression tests, bug fixes, and patching as required by the NGTS ART transition customer to support the Integrated Training Facility’s requirements. Perform an in-depth evaluation of the training effectiveness of the tool and provide return on investment information for program acquisition. Expand to include application of the baseline capabilities to other mission sets and domains as needed.</w:t>
      </w:r>
    </w:p>
    <w:p w14:paraId="6482FA32" w14:textId="77777777" w:rsidR="00C9232E" w:rsidRPr="00AA7A47" w:rsidRDefault="00C9232E" w:rsidP="00C9232E">
      <w:pPr>
        <w:rPr>
          <w:rFonts w:eastAsia="Times New Roman" w:cs="Times New Roman"/>
          <w:noProof/>
          <w:color w:val="000000"/>
          <w:sz w:val="22"/>
        </w:rPr>
      </w:pPr>
    </w:p>
    <w:p w14:paraId="0FC54AF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Development of a voice recognition suite that includes performance and visualizations integrated with various pilot simulations allows for a modular capability. This technology could be used for commercial pilot training as well as other team-based domains, which focus heavily on communication and coordination, particularly within the aviation domain (e.g., Air Traffic Control).</w:t>
      </w:r>
    </w:p>
    <w:p w14:paraId="1EDA0122" w14:textId="77777777" w:rsidR="00C9232E" w:rsidRPr="00AA7A47" w:rsidRDefault="00C9232E" w:rsidP="00C9232E">
      <w:pPr>
        <w:rPr>
          <w:rFonts w:eastAsia="Times New Roman" w:cs="Times New Roman"/>
          <w:color w:val="000000"/>
          <w:sz w:val="22"/>
        </w:rPr>
      </w:pPr>
    </w:p>
    <w:p w14:paraId="2C6A448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3D4AED7" w14:textId="32A5A66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Ahmed, U.Z., Kumar, A., Choudhury, M., and Bali, K. “Can Modern Statistical Parsers Lead to Better Natural Language Understanding for Education?” Computational Linguistics and Intelligent Text Processing, 7181, 2012, pp. 415--417.  </w:t>
      </w:r>
      <w:hyperlink r:id="rId57" w:history="1">
        <w:r w:rsidR="000C7B79" w:rsidRPr="007743A7">
          <w:rPr>
            <w:rStyle w:val="Hyperlink"/>
            <w:rFonts w:eastAsia="Times New Roman" w:cs="Times New Roman"/>
            <w:noProof/>
            <w:sz w:val="22"/>
          </w:rPr>
          <w:t>https://www.cse.iitk.ac.in/users/umair/papers/cicling12.pdf</w:t>
        </w:r>
      </w:hyperlink>
      <w:r w:rsidR="000C7B79">
        <w:rPr>
          <w:rFonts w:eastAsia="Times New Roman" w:cs="Times New Roman"/>
          <w:noProof/>
          <w:color w:val="000000"/>
          <w:sz w:val="22"/>
        </w:rPr>
        <w:t xml:space="preserve"> </w:t>
      </w:r>
    </w:p>
    <w:p w14:paraId="23093C8B" w14:textId="77777777" w:rsidR="001C6139" w:rsidRDefault="001C6139" w:rsidP="00C9232E">
      <w:pPr>
        <w:rPr>
          <w:rFonts w:eastAsia="Times New Roman" w:cs="Times New Roman"/>
          <w:noProof/>
          <w:color w:val="000000"/>
          <w:sz w:val="22"/>
        </w:rPr>
      </w:pPr>
    </w:p>
    <w:p w14:paraId="11442AE0" w14:textId="4A5891E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Deng, L. &amp; Xiao, L. “Machine Learning Paradigms for Speech Recognition: An Overview.” IEEE Transactions on Audio, Speech, and Language Processing, vol 21, no 5, 2013.  </w:t>
      </w:r>
      <w:hyperlink r:id="rId58" w:history="1">
        <w:r w:rsidR="000C7B79" w:rsidRPr="007743A7">
          <w:rPr>
            <w:rStyle w:val="Hyperlink"/>
            <w:rFonts w:eastAsia="Times New Roman" w:cs="Times New Roman"/>
            <w:noProof/>
            <w:sz w:val="22"/>
          </w:rPr>
          <w:t>http://citeseerx.ist.psu.edu/viewdoc/download?doi=10.1.1.337.8867&amp;rep=rep1&amp;type=pdf</w:t>
        </w:r>
      </w:hyperlink>
      <w:r w:rsidR="000C7B79">
        <w:rPr>
          <w:rFonts w:eastAsia="Times New Roman" w:cs="Times New Roman"/>
          <w:noProof/>
          <w:color w:val="000000"/>
          <w:sz w:val="22"/>
        </w:rPr>
        <w:t xml:space="preserve"> </w:t>
      </w:r>
    </w:p>
    <w:p w14:paraId="09DEF326" w14:textId="77777777" w:rsidR="001C6139" w:rsidRDefault="001C6139" w:rsidP="00C9232E">
      <w:pPr>
        <w:rPr>
          <w:rFonts w:eastAsia="Times New Roman" w:cs="Times New Roman"/>
          <w:noProof/>
          <w:color w:val="000000"/>
          <w:sz w:val="22"/>
        </w:rPr>
      </w:pPr>
    </w:p>
    <w:p w14:paraId="50A5A9EF" w14:textId="14DA3318" w:rsidR="001C613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Jurafsky, D. and Martin, J.H. “Speech and Language Processing. Cambridge, MA: MIT Press, 2008.  </w:t>
      </w:r>
      <w:hyperlink r:id="rId59" w:history="1">
        <w:r w:rsidR="000C7B79" w:rsidRPr="007743A7">
          <w:rPr>
            <w:rStyle w:val="Hyperlink"/>
            <w:rFonts w:eastAsia="Times New Roman" w:cs="Times New Roman"/>
            <w:noProof/>
            <w:sz w:val="22"/>
          </w:rPr>
          <w:t>https://www.cs.colorado.edu/~martin/SLP/Updates/1.pdf</w:t>
        </w:r>
      </w:hyperlink>
      <w:r w:rsidR="000C7B79">
        <w:rPr>
          <w:rFonts w:eastAsia="Times New Roman" w:cs="Times New Roman"/>
          <w:noProof/>
          <w:color w:val="000000"/>
          <w:sz w:val="22"/>
        </w:rPr>
        <w:t xml:space="preserve"> </w:t>
      </w:r>
    </w:p>
    <w:p w14:paraId="3C15B4D6" w14:textId="77777777" w:rsidR="001C6139" w:rsidRDefault="001C6139" w:rsidP="00C9232E">
      <w:pPr>
        <w:rPr>
          <w:rFonts w:eastAsia="Times New Roman" w:cs="Times New Roman"/>
          <w:noProof/>
          <w:color w:val="000000"/>
          <w:sz w:val="22"/>
        </w:rPr>
      </w:pPr>
    </w:p>
    <w:p w14:paraId="7F2D92C3" w14:textId="0430102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4. Mathieu, J. E., Heffner, T. S., Goodwin, G. F., Salas, E. &amp; Cannon-Bowers, J. A. “The Influence of Shared Mental Models on Team Process and Performance”. Journal of Applied Psychology, 85(2), 2000, p. 273.  </w:t>
      </w:r>
      <w:hyperlink r:id="rId60" w:history="1">
        <w:r w:rsidR="000C7B79" w:rsidRPr="007743A7">
          <w:rPr>
            <w:rStyle w:val="Hyperlink"/>
            <w:rFonts w:eastAsia="Times New Roman" w:cs="Times New Roman"/>
            <w:noProof/>
            <w:sz w:val="22"/>
          </w:rPr>
          <w:t>https://www.ida.liu.se/~729A15/mtrl/shared_mental-models_mathieu.pdf</w:t>
        </w:r>
      </w:hyperlink>
      <w:r w:rsidR="000C7B79">
        <w:rPr>
          <w:rFonts w:eastAsia="Times New Roman" w:cs="Times New Roman"/>
          <w:noProof/>
          <w:color w:val="000000"/>
          <w:sz w:val="22"/>
        </w:rPr>
        <w:t xml:space="preserve"> </w:t>
      </w:r>
    </w:p>
    <w:p w14:paraId="737301BF" w14:textId="77777777" w:rsidR="001C6139" w:rsidRDefault="001C6139" w:rsidP="00C9232E">
      <w:pPr>
        <w:rPr>
          <w:rFonts w:eastAsia="Times New Roman" w:cs="Times New Roman"/>
          <w:noProof/>
          <w:color w:val="000000"/>
          <w:sz w:val="22"/>
        </w:rPr>
      </w:pPr>
    </w:p>
    <w:p w14:paraId="731E7C03" w14:textId="24540593" w:rsidR="001C613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Shneiderman, B. “The Limits of Speech Recognition.” Communications of the ACM, 43(9), 2000.  </w:t>
      </w:r>
      <w:hyperlink r:id="rId61" w:history="1">
        <w:r w:rsidR="000C7B79" w:rsidRPr="007743A7">
          <w:rPr>
            <w:rStyle w:val="Hyperlink"/>
            <w:rFonts w:eastAsia="Times New Roman" w:cs="Times New Roman"/>
            <w:noProof/>
            <w:sz w:val="22"/>
          </w:rPr>
          <w:t>https://www.cs.umd.edu/users/ben/papers/Shneiderman2000limits.pdf</w:t>
        </w:r>
      </w:hyperlink>
      <w:r w:rsidR="000C7B79">
        <w:rPr>
          <w:rFonts w:eastAsia="Times New Roman" w:cs="Times New Roman"/>
          <w:noProof/>
          <w:color w:val="000000"/>
          <w:sz w:val="22"/>
        </w:rPr>
        <w:t xml:space="preserve"> </w:t>
      </w:r>
    </w:p>
    <w:p w14:paraId="6E6490B0" w14:textId="77777777" w:rsidR="001C6139" w:rsidRDefault="001C6139" w:rsidP="00C9232E">
      <w:pPr>
        <w:rPr>
          <w:rFonts w:eastAsia="Times New Roman" w:cs="Times New Roman"/>
          <w:noProof/>
          <w:color w:val="000000"/>
          <w:sz w:val="22"/>
        </w:rPr>
      </w:pPr>
    </w:p>
    <w:p w14:paraId="1264364F" w14:textId="5A6E586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Stensrud, B., Taylor, G. and Crossman, J. “IF-Soar: A Virtual, Speech-Enabled Agent for Indirect Fire Training.” Proceedings of the 25th Army Science Conference, Orlando, FL., November 27-30, 2006.  </w:t>
      </w:r>
      <w:hyperlink r:id="rId62" w:history="1">
        <w:r w:rsidR="000C7B79" w:rsidRPr="007743A7">
          <w:rPr>
            <w:rStyle w:val="Hyperlink"/>
            <w:rFonts w:eastAsia="Times New Roman" w:cs="Times New Roman"/>
            <w:noProof/>
            <w:sz w:val="22"/>
          </w:rPr>
          <w:t>https://www.cs.umd.edu/users/ben/papers/Shneiderman2000limits.pdf</w:t>
        </w:r>
      </w:hyperlink>
      <w:r w:rsidR="000C7B79">
        <w:rPr>
          <w:rFonts w:eastAsia="Times New Roman" w:cs="Times New Roman"/>
          <w:noProof/>
          <w:color w:val="000000"/>
          <w:sz w:val="22"/>
        </w:rPr>
        <w:t xml:space="preserve"> </w:t>
      </w:r>
    </w:p>
    <w:p w14:paraId="70655D8D" w14:textId="77777777" w:rsidR="001C6139" w:rsidRDefault="001C6139" w:rsidP="00C9232E">
      <w:pPr>
        <w:rPr>
          <w:rFonts w:eastAsia="Times New Roman" w:cs="Times New Roman"/>
          <w:noProof/>
          <w:color w:val="000000"/>
          <w:sz w:val="22"/>
        </w:rPr>
      </w:pPr>
    </w:p>
    <w:p w14:paraId="7EE4B223" w14:textId="2B189FEA" w:rsidR="001C613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7. Traum, D. R. &amp; Hinkelman, E. A. “Conversation Acts in Task-Oriented Spoken Dialogue.” Computational Intelligence Special Issue: Computational Approaches to Non-Literal Language, vol 8, no 3, 1993.  </w:t>
      </w:r>
      <w:hyperlink r:id="rId63" w:history="1">
        <w:r w:rsidR="000C7B79" w:rsidRPr="007743A7">
          <w:rPr>
            <w:rStyle w:val="Hyperlink"/>
            <w:rFonts w:eastAsia="Times New Roman" w:cs="Times New Roman"/>
            <w:noProof/>
            <w:sz w:val="22"/>
          </w:rPr>
          <w:t>https://onlinelibrary.wiley.com/doi/pdf/10.1111/j.1467-8640.1992.tb00380.x</w:t>
        </w:r>
      </w:hyperlink>
      <w:r w:rsidR="000C7B79">
        <w:rPr>
          <w:rFonts w:eastAsia="Times New Roman" w:cs="Times New Roman"/>
          <w:noProof/>
          <w:color w:val="000000"/>
          <w:sz w:val="22"/>
        </w:rPr>
        <w:t xml:space="preserve"> </w:t>
      </w:r>
    </w:p>
    <w:p w14:paraId="289D704D" w14:textId="77777777" w:rsidR="001C6139" w:rsidRDefault="001C6139" w:rsidP="00C9232E">
      <w:pPr>
        <w:rPr>
          <w:rFonts w:eastAsia="Times New Roman" w:cs="Times New Roman"/>
          <w:noProof/>
          <w:color w:val="000000"/>
          <w:sz w:val="22"/>
        </w:rPr>
      </w:pPr>
    </w:p>
    <w:p w14:paraId="298424BB" w14:textId="41CAC65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8. Zaihrayeu, I., Sun, L., Giunchiglia, F., Pan, W., Ju, Q., Chi, M. &amp; Huang, X. “Web Directories to Ontologies: Natural Language Processing Challenges.” Springer: Berlin Heidelberg, pp. 623-636.  </w:t>
      </w:r>
      <w:hyperlink r:id="rId64" w:history="1">
        <w:r w:rsidR="000C7B79" w:rsidRPr="007743A7">
          <w:rPr>
            <w:rStyle w:val="Hyperlink"/>
            <w:rFonts w:eastAsia="Times New Roman" w:cs="Times New Roman"/>
            <w:noProof/>
            <w:sz w:val="22"/>
          </w:rPr>
          <w:t>http://iswc2007.semanticweb.org/papers/617.pdf</w:t>
        </w:r>
      </w:hyperlink>
      <w:r w:rsidR="000C7B79">
        <w:rPr>
          <w:rFonts w:eastAsia="Times New Roman" w:cs="Times New Roman"/>
          <w:noProof/>
          <w:color w:val="000000"/>
          <w:sz w:val="22"/>
        </w:rPr>
        <w:t xml:space="preserve"> </w:t>
      </w:r>
    </w:p>
    <w:p w14:paraId="4D81DDF8" w14:textId="77777777" w:rsidR="00C9232E" w:rsidRPr="00AA7A47" w:rsidRDefault="00C9232E" w:rsidP="00C9232E">
      <w:pPr>
        <w:rPr>
          <w:rFonts w:eastAsia="Times New Roman" w:cs="Times New Roman"/>
          <w:color w:val="000000"/>
          <w:sz w:val="22"/>
        </w:rPr>
      </w:pPr>
    </w:p>
    <w:p w14:paraId="0A2D4A3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Speech To Text, STT Technologies, Natural Language Processing, NLP, Tactical Speech, Decision Making, Speech Recognition, Voice Recognition</w:t>
      </w:r>
    </w:p>
    <w:p w14:paraId="0685C328" w14:textId="77777777" w:rsidR="00C9232E" w:rsidRPr="00AA7A47" w:rsidRDefault="00C9232E" w:rsidP="00C9232E">
      <w:pPr>
        <w:rPr>
          <w:rFonts w:eastAsia="Times New Roman" w:cs="Times New Roman"/>
          <w:color w:val="000000"/>
          <w:sz w:val="22"/>
        </w:rPr>
      </w:pPr>
    </w:p>
    <w:p w14:paraId="50787E03" w14:textId="77777777" w:rsidR="00C9232E" w:rsidRPr="00AA7A47" w:rsidRDefault="00C9232E" w:rsidP="00C9232E">
      <w:pPr>
        <w:tabs>
          <w:tab w:val="left" w:pos="1260"/>
        </w:tabs>
        <w:ind w:left="270"/>
        <w:rPr>
          <w:rFonts w:eastAsia="Times New Roman" w:cs="Times New Roman"/>
          <w:color w:val="000000"/>
          <w:sz w:val="22"/>
        </w:rPr>
      </w:pPr>
    </w:p>
    <w:p w14:paraId="39870C43" w14:textId="77777777" w:rsidR="00C9232E" w:rsidRPr="00AA7A47" w:rsidRDefault="00C9232E" w:rsidP="00C9232E">
      <w:pPr>
        <w:tabs>
          <w:tab w:val="left" w:pos="1260"/>
        </w:tabs>
        <w:ind w:left="270"/>
        <w:rPr>
          <w:rFonts w:eastAsia="Times New Roman" w:cs="Times New Roman"/>
          <w:color w:val="000000"/>
          <w:sz w:val="22"/>
        </w:rPr>
      </w:pPr>
    </w:p>
    <w:p w14:paraId="0CEE31A5" w14:textId="77777777" w:rsidR="00C9232E" w:rsidRPr="00AA7A47" w:rsidRDefault="00C9232E" w:rsidP="00C9232E">
      <w:pPr>
        <w:rPr>
          <w:rFonts w:eastAsia="Times New Roman" w:cs="Times New Roman"/>
          <w:color w:val="000000"/>
          <w:sz w:val="22"/>
        </w:rPr>
      </w:pPr>
    </w:p>
    <w:p w14:paraId="28F34F79" w14:textId="77777777" w:rsidR="00C9232E" w:rsidRPr="00AA7A47" w:rsidRDefault="00C9232E" w:rsidP="00C9232E">
      <w:pPr>
        <w:rPr>
          <w:rFonts w:eastAsia="Times New Roman" w:cs="Times New Roman"/>
          <w:color w:val="000000"/>
          <w:sz w:val="22"/>
        </w:rPr>
      </w:pPr>
    </w:p>
    <w:p w14:paraId="193CA834"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470DA529"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N202-099</w:t>
      </w:r>
      <w:r w:rsidRPr="00AA7A47">
        <w:rPr>
          <w:rFonts w:eastAsia="Times New Roman" w:cs="Times New Roman"/>
          <w:color w:val="000000"/>
          <w:sz w:val="22"/>
        </w:rPr>
        <w:tab/>
        <w:t xml:space="preserve">TITLE: </w:t>
      </w:r>
      <w:r w:rsidRPr="00AA7A47">
        <w:rPr>
          <w:rFonts w:eastAsia="Times New Roman" w:cs="Times New Roman"/>
          <w:noProof/>
          <w:color w:val="000000"/>
          <w:sz w:val="22"/>
        </w:rPr>
        <w:t>Implementing Neural Network Algorithms on Neuromorphic Processors</w:t>
      </w:r>
    </w:p>
    <w:p w14:paraId="718600AA" w14:textId="77777777" w:rsidR="00C9232E" w:rsidRPr="00AA7A47" w:rsidRDefault="00C9232E" w:rsidP="00C9232E">
      <w:pPr>
        <w:rPr>
          <w:rFonts w:eastAsia="Times New Roman" w:cs="Times New Roman"/>
          <w:color w:val="000000"/>
          <w:sz w:val="22"/>
        </w:rPr>
      </w:pPr>
    </w:p>
    <w:p w14:paraId="3CD473B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Artificial Intelligence/ Machine Learning, General Warfighting Requirements (GWR)</w:t>
      </w:r>
    </w:p>
    <w:p w14:paraId="3D690EC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0268981A" w14:textId="77777777" w:rsidR="00C9232E" w:rsidRPr="00AA7A47" w:rsidRDefault="00C9232E" w:rsidP="00C9232E">
      <w:pPr>
        <w:rPr>
          <w:rFonts w:eastAsia="Times New Roman" w:cs="Times New Roman"/>
          <w:color w:val="000000"/>
          <w:sz w:val="22"/>
        </w:rPr>
      </w:pPr>
    </w:p>
    <w:p w14:paraId="019FCC9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Deploy Deep Neural Network algorithms on near-commercially available Neuromorphic or equivalent Spiking Neural Network processing hardware.</w:t>
      </w:r>
    </w:p>
    <w:p w14:paraId="6A7806E8" w14:textId="77777777" w:rsidR="00C9232E" w:rsidRPr="00AA7A47" w:rsidRDefault="00C9232E" w:rsidP="00C9232E">
      <w:pPr>
        <w:rPr>
          <w:rFonts w:eastAsia="Times New Roman" w:cs="Times New Roman"/>
          <w:color w:val="000000"/>
          <w:sz w:val="22"/>
        </w:rPr>
      </w:pPr>
    </w:p>
    <w:p w14:paraId="19ADEB8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Biological inspired Neural Networks provide the basis for modern signal processing and classification algorithms. Implementation of these algorithms on conventional computing hardware requires significant compromises in efficiency and latency due to fundamental design differences. A new class of hardware is emerging that more closely resembles the biological Neuron/Synapse model found in Nature and may solve some of these limitations and bottlenecks. Recent work has demonstrated significant performance gains using these new hardware architectures and have shown equivalence to converge on a solution with the same accuracy [Ref 1].</w:t>
      </w:r>
    </w:p>
    <w:p w14:paraId="4030C347" w14:textId="77777777" w:rsidR="00C9232E" w:rsidRPr="00AA7A47" w:rsidRDefault="00C9232E" w:rsidP="00C9232E">
      <w:pPr>
        <w:rPr>
          <w:rFonts w:eastAsia="Times New Roman" w:cs="Times New Roman"/>
          <w:noProof/>
          <w:color w:val="000000"/>
          <w:sz w:val="22"/>
        </w:rPr>
      </w:pPr>
    </w:p>
    <w:p w14:paraId="29C0479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most promising of the new class are based on Spiking Neural Networks (SNN) and analog Processing in Memory (PiM), where information is spatially and temporally encoded onto the network. A simple spiking network can reproduce the complex behavior found in the Neural Cortex with significant reduction in complexity and power requirements [Ref 2]. Fundamentally, there should be no difference between algorithms based on Neural Network and current processing hardware. In fact, the algorithms can easily be transferred between hardware architectures [Ref 4]. The performance gains, application of neural networks and the relative ease of transitioning current algorithms over to the new hardware motivates the consideration of this topic.  </w:t>
      </w:r>
    </w:p>
    <w:p w14:paraId="5087730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7754A117"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Hardware based on Spiking Neural Networks (SNN) are currently under development at various stages of maturity. Two prominent examples are the IBM True North and the INTEL Loihi Chips, respectively. The IBM approach uses conventional CMOS technology and the INTEL approach uses a less mature memrisistor architecture. Estimated efficiency performance increase is greater than 3 orders of magnitude better than state of the art Graphic Processing Unit (GPUs) or Field-programmable gate array (FPGAs). More advanced architectures based on an all-optical or photonic based SNN show even more promise. Nano-Photonic based systems are estimated to achieve 6 orders of magnitude increase in efficiency and computational density; approaching the performance of a Human Neural Cortex. The primary goal of this effort is to deploy Deep Neural Network algorithms on near-commercially available Neuromorphic or equivalent Spiking Neural Network processing hardware. Benchmark the performance gains and validate the suitability to warfighter application.</w:t>
      </w:r>
    </w:p>
    <w:p w14:paraId="04B4EF7D" w14:textId="77777777" w:rsidR="00C9232E" w:rsidRPr="00AA7A47" w:rsidRDefault="00C9232E" w:rsidP="00C9232E">
      <w:pPr>
        <w:rPr>
          <w:rFonts w:eastAsia="Times New Roman" w:cs="Times New Roman"/>
          <w:noProof/>
          <w:color w:val="000000"/>
          <w:sz w:val="22"/>
        </w:rPr>
      </w:pPr>
    </w:p>
    <w:p w14:paraId="2C5432E7"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5318D01" w14:textId="77777777" w:rsidR="00C9232E" w:rsidRPr="00AA7A47" w:rsidRDefault="00C9232E" w:rsidP="00C9232E">
      <w:pPr>
        <w:rPr>
          <w:rFonts w:eastAsia="Times New Roman" w:cs="Times New Roman"/>
          <w:color w:val="000000"/>
          <w:sz w:val="22"/>
        </w:rPr>
      </w:pPr>
    </w:p>
    <w:p w14:paraId="48FB24F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 xml:space="preserve">Develop an approach for deploying Neural Network algorithms and identify suitable hardware, learning algorithm framework and benchmark testing and validation methodology plan. Demonstrate </w:t>
      </w:r>
      <w:r w:rsidRPr="00AA7A47">
        <w:rPr>
          <w:rFonts w:eastAsia="Times New Roman" w:cs="Times New Roman"/>
          <w:noProof/>
          <w:color w:val="000000"/>
          <w:sz w:val="22"/>
        </w:rPr>
        <w:lastRenderedPageBreak/>
        <w:t>performance enhancements and integration of technology as described in the description above. The Phase I effort will include plans to be developed under Phase II.</w:t>
      </w:r>
    </w:p>
    <w:p w14:paraId="65C6347A" w14:textId="77777777" w:rsidR="00C9232E" w:rsidRPr="00AA7A47" w:rsidRDefault="00C9232E" w:rsidP="00C9232E">
      <w:pPr>
        <w:rPr>
          <w:rFonts w:eastAsia="Times New Roman" w:cs="Times New Roman"/>
          <w:color w:val="000000"/>
          <w:sz w:val="22"/>
        </w:rPr>
      </w:pPr>
    </w:p>
    <w:p w14:paraId="7FD82C38"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Transfer government furnished algorithms and training data running on a desktop computing environment to the new hardware environment. An example algorithm development frame for this work would be TensorFlow. Some modification of the framework and/or algorithms may be required to facilitate transfer. Some optimization will be required and is expected to maximize the performance of the algorithms on the new hardware. This optimization should focus on throughput, latency, and power draw/dissipation. Benchmark testing should be conducted against these metrics. Develop a transition plan for Phase III.</w:t>
      </w:r>
    </w:p>
    <w:p w14:paraId="232562DF" w14:textId="77777777" w:rsidR="00C9232E" w:rsidRPr="00AA7A47" w:rsidRDefault="00C9232E" w:rsidP="00C9232E">
      <w:pPr>
        <w:rPr>
          <w:rFonts w:eastAsia="Times New Roman" w:cs="Times New Roman"/>
          <w:noProof/>
          <w:color w:val="000000"/>
          <w:sz w:val="22"/>
        </w:rPr>
      </w:pPr>
    </w:p>
    <w:p w14:paraId="6C4EC8A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It is probable that the work under this effort will be classified under Phase II (see Description section for details).</w:t>
      </w:r>
    </w:p>
    <w:p w14:paraId="25754926" w14:textId="77777777" w:rsidR="00C9232E" w:rsidRPr="00AA7A47" w:rsidRDefault="00C9232E" w:rsidP="00C9232E">
      <w:pPr>
        <w:rPr>
          <w:rFonts w:eastAsia="Times New Roman" w:cs="Times New Roman"/>
          <w:color w:val="000000"/>
          <w:sz w:val="22"/>
        </w:rPr>
      </w:pPr>
    </w:p>
    <w:p w14:paraId="1F84088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Optimize algorithm and conduct benchmark testing. Adjust algorithms as needed and transition to final hardware environment. Successful technology development could benefit industries that conduct data mining and high-end processing, computer modeling and machine learning such as manufacturing, automotive, and aerospace industries.</w:t>
      </w:r>
    </w:p>
    <w:p w14:paraId="2748E995" w14:textId="77777777" w:rsidR="00C9232E" w:rsidRPr="00AA7A47" w:rsidRDefault="00C9232E" w:rsidP="00C9232E">
      <w:pPr>
        <w:rPr>
          <w:rFonts w:eastAsia="Times New Roman" w:cs="Times New Roman"/>
          <w:color w:val="000000"/>
          <w:sz w:val="22"/>
        </w:rPr>
      </w:pPr>
    </w:p>
    <w:p w14:paraId="3335C33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308FA0ED" w14:textId="4F725B9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Ambrogio, S., Narayanan, P., Tsai, H., Shelby, R., Boybat, I., Nolfo, C., . . . Burr, G. “Equivalent-Accuracy Accelerated Neural-Network Training Using Analogue Memory.” Nature, June 6, 2018, pp. 60-67. </w:t>
      </w:r>
      <w:hyperlink r:id="rId65" w:history="1">
        <w:r w:rsidR="000F3A38" w:rsidRPr="007743A7">
          <w:rPr>
            <w:rStyle w:val="Hyperlink"/>
            <w:rFonts w:eastAsia="Times New Roman" w:cs="Times New Roman"/>
            <w:noProof/>
            <w:sz w:val="22"/>
          </w:rPr>
          <w:t>https://www.nature.com/articles/s41586-018-0180-5</w:t>
        </w:r>
      </w:hyperlink>
      <w:r w:rsidR="000F3A38">
        <w:rPr>
          <w:rFonts w:eastAsia="Times New Roman" w:cs="Times New Roman"/>
          <w:noProof/>
          <w:color w:val="000000"/>
          <w:sz w:val="22"/>
        </w:rPr>
        <w:t xml:space="preserve"> </w:t>
      </w:r>
    </w:p>
    <w:p w14:paraId="7ED208B4" w14:textId="77777777" w:rsidR="001C6139" w:rsidRDefault="001C6139" w:rsidP="00C9232E">
      <w:pPr>
        <w:rPr>
          <w:rFonts w:eastAsia="Times New Roman" w:cs="Times New Roman"/>
          <w:noProof/>
          <w:color w:val="000000"/>
          <w:sz w:val="22"/>
        </w:rPr>
      </w:pPr>
    </w:p>
    <w:p w14:paraId="111D6C8E" w14:textId="1449470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Izhikevich, E. “Simple Model of Spiking Neurons.” IEEE Transactions on Neural Networks, 2003, pp. 1569-1572. </w:t>
      </w:r>
      <w:hyperlink r:id="rId66" w:history="1">
        <w:r w:rsidR="000F3A38" w:rsidRPr="007743A7">
          <w:rPr>
            <w:rStyle w:val="Hyperlink"/>
            <w:rFonts w:eastAsia="Times New Roman" w:cs="Times New Roman"/>
            <w:noProof/>
            <w:sz w:val="22"/>
          </w:rPr>
          <w:t>https://ieeexplore.ieee.org/document/1257420</w:t>
        </w:r>
      </w:hyperlink>
      <w:r w:rsidR="000F3A38">
        <w:rPr>
          <w:rFonts w:eastAsia="Times New Roman" w:cs="Times New Roman"/>
          <w:noProof/>
          <w:color w:val="000000"/>
          <w:sz w:val="22"/>
        </w:rPr>
        <w:t xml:space="preserve"> </w:t>
      </w:r>
    </w:p>
    <w:p w14:paraId="042CE200" w14:textId="77777777" w:rsidR="001C6139" w:rsidRDefault="001C6139" w:rsidP="00C9232E">
      <w:pPr>
        <w:rPr>
          <w:rFonts w:eastAsia="Times New Roman" w:cs="Times New Roman"/>
          <w:noProof/>
          <w:color w:val="000000"/>
          <w:sz w:val="22"/>
        </w:rPr>
      </w:pPr>
    </w:p>
    <w:p w14:paraId="57ADC6C7" w14:textId="78F53CF8" w:rsidR="001C6139"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Diehl, P., Zarrella, G., Cassidy, A., Pedroni, B. &amp; Neftci, E. “Conversion of Artificial Recurrent Neural Networks to Spiking Neural Networks for Low-Power Neuromorphic Hardware.” Cornell University, 2016. </w:t>
      </w:r>
      <w:hyperlink r:id="rId67" w:history="1">
        <w:r w:rsidR="000F3A38" w:rsidRPr="007743A7">
          <w:rPr>
            <w:rStyle w:val="Hyperlink"/>
            <w:rFonts w:eastAsia="Times New Roman" w:cs="Times New Roman"/>
            <w:noProof/>
            <w:sz w:val="22"/>
          </w:rPr>
          <w:t>https://arxiv.org/abs/1601.04187</w:t>
        </w:r>
      </w:hyperlink>
      <w:r w:rsidR="000F3A38">
        <w:rPr>
          <w:rFonts w:eastAsia="Times New Roman" w:cs="Times New Roman"/>
          <w:noProof/>
          <w:color w:val="000000"/>
          <w:sz w:val="22"/>
        </w:rPr>
        <w:t xml:space="preserve"> </w:t>
      </w:r>
    </w:p>
    <w:p w14:paraId="5192849B" w14:textId="77777777" w:rsidR="001C6139" w:rsidRDefault="001C6139" w:rsidP="00C9232E">
      <w:pPr>
        <w:rPr>
          <w:rFonts w:eastAsia="Times New Roman" w:cs="Times New Roman"/>
          <w:noProof/>
          <w:color w:val="000000"/>
          <w:sz w:val="22"/>
        </w:rPr>
      </w:pPr>
    </w:p>
    <w:p w14:paraId="30DA4FDD" w14:textId="110886D2"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Esser, S., Merolla, P., Arthur, J., Cassidy, A., Appuswamy, R., Andreopoulos, A., . . . Modha, D. “Convolutional Networks for Fast, Energy-Efficient Neuromorphic Computing.” IBM Research: Almaden, May 24, 2016. </w:t>
      </w:r>
      <w:hyperlink r:id="rId68" w:history="1">
        <w:r w:rsidR="000F3A38" w:rsidRPr="007743A7">
          <w:rPr>
            <w:rStyle w:val="Hyperlink"/>
            <w:rFonts w:eastAsia="Times New Roman" w:cs="Times New Roman"/>
            <w:noProof/>
            <w:sz w:val="22"/>
          </w:rPr>
          <w:t>https://arxiv.org/pdf/1603.08270.pdf</w:t>
        </w:r>
      </w:hyperlink>
      <w:r w:rsidR="000F3A38">
        <w:rPr>
          <w:rFonts w:eastAsia="Times New Roman" w:cs="Times New Roman"/>
          <w:noProof/>
          <w:color w:val="000000"/>
          <w:sz w:val="22"/>
        </w:rPr>
        <w:t xml:space="preserve"> </w:t>
      </w:r>
    </w:p>
    <w:p w14:paraId="5D1B9ACB" w14:textId="77777777" w:rsidR="001C6139" w:rsidRDefault="001C6139" w:rsidP="00C9232E">
      <w:pPr>
        <w:rPr>
          <w:rFonts w:eastAsia="Times New Roman" w:cs="Times New Roman"/>
          <w:noProof/>
          <w:color w:val="000000"/>
          <w:sz w:val="22"/>
        </w:rPr>
      </w:pPr>
    </w:p>
    <w:p w14:paraId="4236A7AD" w14:textId="6C45C10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Department of Defense. National Defense Strategy 2018. United States Congress. </w:t>
      </w:r>
      <w:hyperlink r:id="rId69" w:history="1">
        <w:r w:rsidR="000F3A38" w:rsidRPr="007743A7">
          <w:rPr>
            <w:rStyle w:val="Hyperlink"/>
            <w:rFonts w:eastAsia="Times New Roman" w:cs="Times New Roman"/>
            <w:noProof/>
            <w:sz w:val="22"/>
          </w:rPr>
          <w:t>https://dod.defense.gov/Portals/1/Documents/pubs/2018-National-Defense-Strategy-Summary.pdf</w:t>
        </w:r>
      </w:hyperlink>
      <w:r w:rsidR="000F3A38">
        <w:rPr>
          <w:rFonts w:eastAsia="Times New Roman" w:cs="Times New Roman"/>
          <w:noProof/>
          <w:color w:val="000000"/>
          <w:sz w:val="22"/>
        </w:rPr>
        <w:t xml:space="preserve"> </w:t>
      </w:r>
    </w:p>
    <w:p w14:paraId="45CB823F" w14:textId="77777777" w:rsidR="00C9232E" w:rsidRPr="00AA7A47" w:rsidRDefault="00C9232E" w:rsidP="00C9232E">
      <w:pPr>
        <w:rPr>
          <w:rFonts w:eastAsia="Times New Roman" w:cs="Times New Roman"/>
          <w:color w:val="000000"/>
          <w:sz w:val="22"/>
        </w:rPr>
      </w:pPr>
    </w:p>
    <w:p w14:paraId="2B50820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Neural Networks, Neuromorphic, Processor, Algorithm, Spiking Neurons, Machine Learning</w:t>
      </w:r>
    </w:p>
    <w:p w14:paraId="4A9929E6" w14:textId="77777777" w:rsidR="00C9232E" w:rsidRPr="00AA7A47" w:rsidRDefault="00C9232E" w:rsidP="00C9232E">
      <w:pPr>
        <w:rPr>
          <w:rFonts w:eastAsia="Times New Roman" w:cs="Times New Roman"/>
          <w:color w:val="000000"/>
          <w:sz w:val="22"/>
        </w:rPr>
      </w:pPr>
    </w:p>
    <w:p w14:paraId="4FDDC4E7" w14:textId="77777777" w:rsidR="00C9232E" w:rsidRPr="00AA7A47" w:rsidRDefault="00C9232E" w:rsidP="00C9232E">
      <w:pPr>
        <w:tabs>
          <w:tab w:val="left" w:pos="1260"/>
        </w:tabs>
        <w:ind w:left="270"/>
        <w:rPr>
          <w:rFonts w:eastAsia="Times New Roman" w:cs="Times New Roman"/>
          <w:color w:val="000000"/>
          <w:sz w:val="22"/>
        </w:rPr>
      </w:pPr>
    </w:p>
    <w:p w14:paraId="09D7C0D1" w14:textId="1C804CFF" w:rsidR="00FB3ABB" w:rsidRDefault="00FB3ABB">
      <w:pPr>
        <w:rPr>
          <w:rFonts w:eastAsia="Times New Roman" w:cs="Times New Roman"/>
          <w:color w:val="000000"/>
          <w:sz w:val="22"/>
        </w:rPr>
      </w:pPr>
      <w:r>
        <w:rPr>
          <w:rFonts w:eastAsia="Times New Roman" w:cs="Times New Roman"/>
          <w:color w:val="000000"/>
          <w:sz w:val="22"/>
        </w:rPr>
        <w:br w:type="page"/>
      </w:r>
    </w:p>
    <w:p w14:paraId="0116A6B6" w14:textId="77777777" w:rsidR="00C9232E" w:rsidRPr="00AA7A47" w:rsidRDefault="00C9232E" w:rsidP="00C9232E">
      <w:pPr>
        <w:tabs>
          <w:tab w:val="left" w:pos="1260"/>
        </w:tabs>
        <w:ind w:left="270"/>
        <w:rPr>
          <w:rFonts w:eastAsia="Times New Roman" w:cs="Times New Roman"/>
          <w:color w:val="000000"/>
          <w:sz w:val="22"/>
        </w:rPr>
      </w:pPr>
    </w:p>
    <w:p w14:paraId="4500DD78" w14:textId="77777777" w:rsidR="00C9232E" w:rsidRPr="00AA7A47" w:rsidRDefault="00C9232E" w:rsidP="00C9232E">
      <w:pPr>
        <w:rPr>
          <w:rFonts w:eastAsia="Times New Roman" w:cs="Times New Roman"/>
          <w:color w:val="000000"/>
          <w:sz w:val="22"/>
        </w:rPr>
      </w:pPr>
    </w:p>
    <w:p w14:paraId="3F4EFCC5"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t>N202-100</w:t>
      </w:r>
      <w:r w:rsidRPr="00AA7A47">
        <w:rPr>
          <w:rFonts w:eastAsia="Times New Roman" w:cs="Times New Roman"/>
          <w:color w:val="000000"/>
          <w:sz w:val="22"/>
        </w:rPr>
        <w:tab/>
        <w:t xml:space="preserve">TITLE: </w:t>
      </w:r>
      <w:r w:rsidRPr="00AA7A47">
        <w:rPr>
          <w:rFonts w:eastAsia="Times New Roman" w:cs="Times New Roman"/>
          <w:noProof/>
          <w:color w:val="000000"/>
          <w:sz w:val="22"/>
        </w:rPr>
        <w:t>Preload Indicating Hardware for Bolted Joints</w:t>
      </w:r>
    </w:p>
    <w:p w14:paraId="5443E051" w14:textId="77777777" w:rsidR="00C9232E" w:rsidRPr="00AA7A47" w:rsidRDefault="00C9232E" w:rsidP="00C9232E">
      <w:pPr>
        <w:rPr>
          <w:rFonts w:eastAsia="Times New Roman" w:cs="Times New Roman"/>
          <w:color w:val="000000"/>
          <w:sz w:val="22"/>
        </w:rPr>
      </w:pPr>
    </w:p>
    <w:p w14:paraId="4B01599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0DD6F1B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0A03B6A0" w14:textId="77777777" w:rsidR="00C9232E" w:rsidRPr="00AA7A47" w:rsidRDefault="00C9232E" w:rsidP="00C9232E">
      <w:pPr>
        <w:rPr>
          <w:rFonts w:eastAsia="Times New Roman" w:cs="Times New Roman"/>
          <w:color w:val="000000"/>
          <w:sz w:val="22"/>
        </w:rPr>
      </w:pPr>
    </w:p>
    <w:p w14:paraId="4B81D3F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method of determining preload on aircraft bolted joints through a visual indication, or alternate means, which does not require physical measurement of torque via a torque wrench and does not require disassembly of any adjacent parts.</w:t>
      </w:r>
    </w:p>
    <w:p w14:paraId="4EAE9622" w14:textId="77777777" w:rsidR="00C9232E" w:rsidRPr="00AA7A47" w:rsidRDefault="00C9232E" w:rsidP="00C9232E">
      <w:pPr>
        <w:rPr>
          <w:rFonts w:eastAsia="Times New Roman" w:cs="Times New Roman"/>
          <w:color w:val="000000"/>
          <w:sz w:val="22"/>
        </w:rPr>
      </w:pPr>
    </w:p>
    <w:p w14:paraId="1AC26E8B"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Helicopters experience high amounts of vibration and as a result, the onboard equipment experiences different frequency resonances that cause bolted joints to loosen during operation. Torque checks are one of the regularly performed maintenance actions to make sure fasteners are still within designated torque values, and that no bolted joints have loosened over the operational life of the aircraft. </w:t>
      </w:r>
    </w:p>
    <w:p w14:paraId="30179C52" w14:textId="77777777" w:rsidR="00C9232E" w:rsidRPr="00AA7A47" w:rsidRDefault="00C9232E" w:rsidP="00C9232E">
      <w:pPr>
        <w:rPr>
          <w:rFonts w:eastAsia="Times New Roman" w:cs="Times New Roman"/>
          <w:noProof/>
          <w:color w:val="000000"/>
          <w:sz w:val="22"/>
        </w:rPr>
      </w:pPr>
    </w:p>
    <w:p w14:paraId="14D4B6C1"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Preload Indicating Hardware is hardware in a bolted joint assembly that gives the user a visual indication that proper tension/torque is applied. Examples in industry for industrial/commercial hardware applications range from one-time use washers with visual indicators to stress indicating bolts that contain a visual coloring or scale indication. Unlike torque checks where the clamping force is approximated via the resistance of the spinning bolt, this type of hardware directly measures clamping force in the bolted joint. Current available products would need to size down to accommodate aircraft application and show that the torque indication accuracy is within the desired parameters.</w:t>
      </w:r>
    </w:p>
    <w:p w14:paraId="3F73D019" w14:textId="77777777" w:rsidR="00C9232E" w:rsidRPr="00AA7A47" w:rsidRDefault="00C9232E" w:rsidP="00C9232E">
      <w:pPr>
        <w:rPr>
          <w:rFonts w:eastAsia="Times New Roman" w:cs="Times New Roman"/>
          <w:noProof/>
          <w:color w:val="000000"/>
          <w:sz w:val="22"/>
        </w:rPr>
      </w:pPr>
    </w:p>
    <w:p w14:paraId="59031B9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Another method of determining preload on a bolted joint without the use of a torque wrench or other tool to turn the bolt is the use of ultrasound technology. Ultrasound technology generally involves a probe that emits ultrasonic waves into a material and analyzes the reflection of said waves to determine the characteristics of the material. The clamping force of a bolted joint can be determined through this method by analyzing the amount of strain a bolted joint is exerting on a part. This method of inspection can often require physical contact with the bolted joint, but compared to using a torque wrench, one only needs enough space for the probe to make contact versus space for a full wrench turn. This technology would have to be adopted to detect loss of preload on varying sized hardware to limit the need to manufacture multiple tools and reduce possible maintainer training.  </w:t>
      </w:r>
    </w:p>
    <w:p w14:paraId="67460E6D" w14:textId="77777777" w:rsidR="00C9232E" w:rsidRPr="00AA7A47" w:rsidRDefault="00C9232E" w:rsidP="00C9232E">
      <w:pPr>
        <w:rPr>
          <w:rFonts w:eastAsia="Times New Roman" w:cs="Times New Roman"/>
          <w:noProof/>
          <w:color w:val="000000"/>
          <w:sz w:val="22"/>
        </w:rPr>
      </w:pPr>
    </w:p>
    <w:p w14:paraId="05A449A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Current torque checking procedures require maintainers to expose the bolts to the degree that space permits free engagement of a torque wrench. After re-installation and the torque check, a vibration check and a functional check flight (FCF) are often required, which take multiple maintenance man-hours to complete. These maintenance man-hours exponentially accumulate in the event a torque check fails or subsequently doesn't pass the vibration check and/or FCF on the first round, affecting overall aircraft readiness. This is where preload indicating hardware could be a significant game changer in reducing maintenance man-hours for torque verification. This technology would give the maintainers a visual indication of whether or not a fastener is still exerting the required amount of preload in a bolted joint, and would eliminate a significant amount of non-mission capable hours (NMCH) and maintenance man-hours required as part of a physical torque verification process.</w:t>
      </w:r>
    </w:p>
    <w:p w14:paraId="0AA9A41F" w14:textId="77777777" w:rsidR="00C9232E" w:rsidRPr="00AA7A47" w:rsidRDefault="00C9232E" w:rsidP="00C9232E">
      <w:pPr>
        <w:rPr>
          <w:rFonts w:eastAsia="Times New Roman" w:cs="Times New Roman"/>
          <w:noProof/>
          <w:color w:val="000000"/>
          <w:sz w:val="22"/>
        </w:rPr>
      </w:pPr>
    </w:p>
    <w:p w14:paraId="2909EBB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A product (preload indicator) is needed that can be easily implemented onto existing Navy/Marine aircraft, without major modifications to any part of the structure or any other components on the aircraft. The preload indicator can be built into the bolt, the nut, the washer, or any combination of the three as long as the design does not hinder current torque check procedures, or can be a separate tool so long as it does not damage any surrounding components. The hardware should be able to accommodate bolts as small as 0.375-inches in diameter to as large as 1.6875-inches in diameter. Binary preload indication </w:t>
      </w:r>
      <w:r w:rsidRPr="00AA7A47">
        <w:rPr>
          <w:rFonts w:eastAsia="Times New Roman" w:cs="Times New Roman"/>
          <w:noProof/>
          <w:color w:val="000000"/>
          <w:sz w:val="22"/>
        </w:rPr>
        <w:lastRenderedPageBreak/>
        <w:t>should be visible enough that maintainers can clearly see an out-of-torque and over-torqued bolt during night conditions typical of ship-based operations. It should be able to withstand flight conditions/loads without loss of preload in the bolted joint over the life of the aircraft for airframe application, or the predefined maintenance interval for dynamic components. The product should be able to endure corrosion prone environments typical of naval operations, vibrations, and accommodate temperatures typical of naval aircraft (details will be provided to Phase I awardees). Debris commonly found inside the aircraft (i.e., hydraulic fluid, gearbox fluid, etc.) should not affect preload indication. Handling and fall damage should not cause the product to lose accuracy. The preload of the current bolted joints should remain the same, as well as keeping to the currently implemented fastener standards. Additional installed hardware on the aircraft should be no more than a combined weight of two pounds. The hardware must have negligible effect (+/-5%) on the natural frequency of the fasteners as to not interfere with the existing health monitoring sensors. Implementation of this hardware should also not introduce new failure modes. Wireless inspection solutions of bolted joint preload must be consistent and accurate. Parts adjacent to the designated bolted joints should not require removal in order for the tool to properly inspect bolt preload.</w:t>
      </w:r>
    </w:p>
    <w:p w14:paraId="7CA3A224" w14:textId="77777777" w:rsidR="00C9232E" w:rsidRPr="00AA7A47" w:rsidRDefault="00C9232E" w:rsidP="00C9232E">
      <w:pPr>
        <w:rPr>
          <w:rFonts w:eastAsia="Times New Roman" w:cs="Times New Roman"/>
          <w:color w:val="000000"/>
          <w:sz w:val="22"/>
        </w:rPr>
      </w:pPr>
    </w:p>
    <w:p w14:paraId="2C902BC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and design a preload indicator for bolted joints that provides a binary indication of torque value. Ensure that the selected indicator methods have no intrinsic limitations to scaling with the bolt sizes described in the Description. Demonstrate the feasibility of the indicator showing a path forward to meeting Phase II goals. The Phase I effort will include prototype plans to be developed under Phase II.</w:t>
      </w:r>
    </w:p>
    <w:p w14:paraId="31ED2087" w14:textId="77777777" w:rsidR="00C9232E" w:rsidRPr="00AA7A47" w:rsidRDefault="00C9232E" w:rsidP="00C9232E">
      <w:pPr>
        <w:rPr>
          <w:rFonts w:eastAsia="Times New Roman" w:cs="Times New Roman"/>
          <w:color w:val="000000"/>
          <w:sz w:val="22"/>
        </w:rPr>
      </w:pPr>
    </w:p>
    <w:p w14:paraId="7105B8B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and build a prototype that can successfully provide indication that a bolted joint, through a visual cue, a tool, or otherwise, has either lost preload, or been over torqued. Demonstrate non-destructive inspection of the bolted joint complies with Naval Aviation standards. Demonstrate that the prototype will withstand handling and fall damage without losing accuracy.</w:t>
      </w:r>
    </w:p>
    <w:p w14:paraId="038BAD2F" w14:textId="77777777" w:rsidR="00C9232E" w:rsidRPr="00AA7A47" w:rsidRDefault="00C9232E" w:rsidP="00C9232E">
      <w:pPr>
        <w:rPr>
          <w:rFonts w:eastAsia="Times New Roman" w:cs="Times New Roman"/>
          <w:color w:val="000000"/>
          <w:sz w:val="22"/>
        </w:rPr>
      </w:pPr>
    </w:p>
    <w:p w14:paraId="207F84D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Verify and validate the viability of the prototype at a fleet maintenance facility and in the field. Transition the prototype into a final product for Navy/Marine Corp fleet application. Distribute the product, support equipment, and process specifications to maintainers. Commercial applications include structures (e.g., factories, bridges, and buildings), transportation equipment, and commercial aircraft.</w:t>
      </w:r>
    </w:p>
    <w:p w14:paraId="57172E3A" w14:textId="77777777" w:rsidR="00C9232E" w:rsidRPr="00AA7A47" w:rsidRDefault="00C9232E" w:rsidP="00C9232E">
      <w:pPr>
        <w:rPr>
          <w:rFonts w:eastAsia="Times New Roman" w:cs="Times New Roman"/>
          <w:color w:val="000000"/>
          <w:sz w:val="22"/>
        </w:rPr>
      </w:pPr>
    </w:p>
    <w:p w14:paraId="2F553AE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73C206A9" w14:textId="37F775E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Chambers, Jeffrey. “Preloaded Joint Analysis Methodology for Space Flight Systems.” National Aeronautics and Space Administration, 1995. </w:t>
      </w:r>
      <w:hyperlink r:id="rId70" w:history="1">
        <w:r w:rsidR="00362AC4" w:rsidRPr="007743A7">
          <w:rPr>
            <w:rStyle w:val="Hyperlink"/>
            <w:rFonts w:eastAsia="Times New Roman" w:cs="Times New Roman"/>
            <w:noProof/>
            <w:sz w:val="22"/>
          </w:rPr>
          <w:t>https://ntrs.nasa.gov/archive/nasa/casi.ntrs.nasa.gov/19960012183.pdf</w:t>
        </w:r>
      </w:hyperlink>
      <w:r w:rsidR="00362AC4">
        <w:rPr>
          <w:rFonts w:eastAsia="Times New Roman" w:cs="Times New Roman"/>
          <w:noProof/>
          <w:color w:val="000000"/>
          <w:sz w:val="22"/>
        </w:rPr>
        <w:t xml:space="preserve"> </w:t>
      </w:r>
    </w:p>
    <w:p w14:paraId="62D33919" w14:textId="77777777" w:rsidR="00FB3ABB" w:rsidRDefault="00FB3ABB" w:rsidP="00C9232E">
      <w:pPr>
        <w:rPr>
          <w:rFonts w:eastAsia="Times New Roman" w:cs="Times New Roman"/>
          <w:noProof/>
          <w:color w:val="000000"/>
          <w:sz w:val="22"/>
        </w:rPr>
      </w:pPr>
    </w:p>
    <w:p w14:paraId="7586718F" w14:textId="479BDD3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Chapman, I., Newnham, J., and Wallace, P. "The Tightening of Bolts to Yield and Their Performance Under Load." ASME. J. Vib., Acoust., Stress, and Reliab. April 1986, 108(2), pp. 213-221. </w:t>
      </w:r>
      <w:hyperlink r:id="rId71" w:history="1">
        <w:r w:rsidR="00362AC4" w:rsidRPr="007743A7">
          <w:rPr>
            <w:rStyle w:val="Hyperlink"/>
            <w:rFonts w:eastAsia="Times New Roman" w:cs="Times New Roman"/>
            <w:noProof/>
            <w:sz w:val="22"/>
          </w:rPr>
          <w:t>https://doi.org/10.1115/1.3269326</w:t>
        </w:r>
      </w:hyperlink>
      <w:r w:rsidR="00362AC4">
        <w:rPr>
          <w:rFonts w:eastAsia="Times New Roman" w:cs="Times New Roman"/>
          <w:noProof/>
          <w:color w:val="000000"/>
          <w:sz w:val="22"/>
        </w:rPr>
        <w:t xml:space="preserve"> </w:t>
      </w:r>
    </w:p>
    <w:p w14:paraId="79F00328" w14:textId="77777777" w:rsidR="00FB3ABB" w:rsidRDefault="00FB3ABB" w:rsidP="00C9232E">
      <w:pPr>
        <w:rPr>
          <w:rFonts w:eastAsia="Times New Roman" w:cs="Times New Roman"/>
          <w:noProof/>
          <w:color w:val="000000"/>
          <w:sz w:val="22"/>
        </w:rPr>
      </w:pPr>
    </w:p>
    <w:p w14:paraId="6FB75BAE" w14:textId="7F8D2735" w:rsidR="00FB3ABB"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Chen, S. H., He, Z. G. &amp; Egger, P. “Study of Hollow Friction Bolts In Rock By a Three Dimensional Composite Element Method.” International Society for Rock Mechanics and Rock Engineering, January 1, 2003.  </w:t>
      </w:r>
      <w:hyperlink r:id="rId72" w:history="1">
        <w:r w:rsidR="00362AC4" w:rsidRPr="007743A7">
          <w:rPr>
            <w:rStyle w:val="Hyperlink"/>
            <w:rFonts w:eastAsia="Times New Roman" w:cs="Times New Roman"/>
            <w:noProof/>
            <w:sz w:val="22"/>
          </w:rPr>
          <w:t>http://www.onepetro.org/conference-paper/ISRM-10CONGRESS-2003-035</w:t>
        </w:r>
      </w:hyperlink>
      <w:r w:rsidR="00362AC4">
        <w:rPr>
          <w:rFonts w:eastAsia="Times New Roman" w:cs="Times New Roman"/>
          <w:noProof/>
          <w:color w:val="000000"/>
          <w:sz w:val="22"/>
        </w:rPr>
        <w:t xml:space="preserve"> </w:t>
      </w:r>
    </w:p>
    <w:p w14:paraId="47A17E70" w14:textId="77777777" w:rsidR="00FB3ABB" w:rsidRDefault="00FB3ABB" w:rsidP="00C9232E">
      <w:pPr>
        <w:rPr>
          <w:rFonts w:eastAsia="Times New Roman" w:cs="Times New Roman"/>
          <w:noProof/>
          <w:color w:val="000000"/>
          <w:sz w:val="22"/>
        </w:rPr>
      </w:pPr>
    </w:p>
    <w:p w14:paraId="41BF7801" w14:textId="79755B1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“Fatigue Tests on High Strength Bolts and ‘Coronet’ Load Indicators.” TurnaSure, LLC. </w:t>
      </w:r>
      <w:hyperlink r:id="rId73" w:history="1">
        <w:r w:rsidR="00362AC4" w:rsidRPr="007743A7">
          <w:rPr>
            <w:rStyle w:val="Hyperlink"/>
            <w:rFonts w:eastAsia="Times New Roman" w:cs="Times New Roman"/>
            <w:noProof/>
            <w:sz w:val="22"/>
          </w:rPr>
          <w:t>http://www.turnasure.com/pdf/reports/26%20Fatigue%20Tests.pdf</w:t>
        </w:r>
      </w:hyperlink>
      <w:r w:rsidR="00362AC4">
        <w:rPr>
          <w:rFonts w:eastAsia="Times New Roman" w:cs="Times New Roman"/>
          <w:noProof/>
          <w:color w:val="000000"/>
          <w:sz w:val="22"/>
        </w:rPr>
        <w:t xml:space="preserve"> </w:t>
      </w:r>
    </w:p>
    <w:p w14:paraId="696B9E58" w14:textId="77777777" w:rsidR="00C9232E" w:rsidRPr="00AA7A47" w:rsidRDefault="00C9232E" w:rsidP="00C9232E">
      <w:pPr>
        <w:rPr>
          <w:rFonts w:eastAsia="Times New Roman" w:cs="Times New Roman"/>
          <w:color w:val="000000"/>
          <w:sz w:val="22"/>
        </w:rPr>
      </w:pPr>
    </w:p>
    <w:p w14:paraId="60A689F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Preload, Torque, Bolt, Hardware, Wireless, Inspection</w:t>
      </w:r>
    </w:p>
    <w:p w14:paraId="601054BA" w14:textId="59BB762A" w:rsidR="00C9232E" w:rsidRPr="00AA7A47" w:rsidRDefault="00C9232E" w:rsidP="007D64C5">
      <w:pPr>
        <w:tabs>
          <w:tab w:val="left" w:pos="1260"/>
        </w:tabs>
        <w:rPr>
          <w:rFonts w:eastAsia="Times New Roman" w:cs="Times New Roman"/>
          <w:color w:val="000000"/>
          <w:sz w:val="22"/>
        </w:rPr>
      </w:pPr>
    </w:p>
    <w:p w14:paraId="6D8F5097" w14:textId="77777777" w:rsidR="00C9232E" w:rsidRPr="00AA7A47" w:rsidRDefault="00C9232E" w:rsidP="00C9232E">
      <w:pPr>
        <w:rPr>
          <w:rFonts w:eastAsia="Times New Roman" w:cs="Times New Roman"/>
          <w:color w:val="000000"/>
          <w:sz w:val="22"/>
        </w:rPr>
      </w:pPr>
    </w:p>
    <w:p w14:paraId="2E1395B6"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40632D7A"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N202-101</w:t>
      </w:r>
      <w:r w:rsidRPr="00AA7A47">
        <w:rPr>
          <w:rFonts w:eastAsia="Times New Roman" w:cs="Times New Roman"/>
          <w:color w:val="000000"/>
          <w:sz w:val="22"/>
        </w:rPr>
        <w:tab/>
        <w:t xml:space="preserve">TITLE: </w:t>
      </w:r>
      <w:r w:rsidRPr="00AA7A47">
        <w:rPr>
          <w:rFonts w:eastAsia="Times New Roman" w:cs="Times New Roman"/>
          <w:noProof/>
          <w:color w:val="000000"/>
          <w:sz w:val="22"/>
        </w:rPr>
        <w:t>Data Link Bottleneck Reduction Using Big Data Analytics</w:t>
      </w:r>
    </w:p>
    <w:p w14:paraId="37D46A4D" w14:textId="77777777" w:rsidR="00C9232E" w:rsidRPr="00AA7A47" w:rsidRDefault="00C9232E" w:rsidP="00C9232E">
      <w:pPr>
        <w:rPr>
          <w:rFonts w:eastAsia="Times New Roman" w:cs="Times New Roman"/>
          <w:color w:val="000000"/>
          <w:sz w:val="22"/>
        </w:rPr>
      </w:pPr>
    </w:p>
    <w:p w14:paraId="6AFEE2A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Artificial Intelligence/ Machine Learning, General Warfighting Requirements (GWR)</w:t>
      </w:r>
    </w:p>
    <w:p w14:paraId="4F4A73A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Information Systems</w:t>
      </w:r>
    </w:p>
    <w:p w14:paraId="76442DC7" w14:textId="77777777" w:rsidR="00C9232E" w:rsidRPr="00AA7A47" w:rsidRDefault="00C9232E" w:rsidP="00C9232E">
      <w:pPr>
        <w:rPr>
          <w:rFonts w:eastAsia="Times New Roman" w:cs="Times New Roman"/>
          <w:color w:val="000000"/>
          <w:sz w:val="22"/>
        </w:rPr>
      </w:pPr>
    </w:p>
    <w:p w14:paraId="309D102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innovative approaches utilizing big data analytics techniques to identify and extract critical content from sensor imagery products to reduce data-link bandwidth requirements dramatically, while maintaining or improving the rate at which actionable intelligence is generated.</w:t>
      </w:r>
    </w:p>
    <w:p w14:paraId="1481482A" w14:textId="77777777" w:rsidR="00C9232E" w:rsidRPr="00AA7A47" w:rsidRDefault="00C9232E" w:rsidP="00C9232E">
      <w:pPr>
        <w:rPr>
          <w:rFonts w:eastAsia="Times New Roman" w:cs="Times New Roman"/>
          <w:color w:val="000000"/>
          <w:sz w:val="22"/>
        </w:rPr>
      </w:pPr>
    </w:p>
    <w:p w14:paraId="3EBA3C3D"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Navy imaging sensors, like optical, electro-optical, multispectral, hyperspectral, and radar sensors, are producing so much high-quality imagery that it overwhelms on-aircraft data link resources. Techniques to buffer, preprocess and compress data are incrementally improved as are the capabilities of data link hardware but these are not keeping pace with sensor improvements that are leading to a continuous rise in data traffic. This situation exists for both line of sight and beyond line of sight links. Significant research is underway in big data analytics techniques to facilitate rapid, more informed and smarter decision making when faced with vast and overwhelming quantities of information. This SBIR topic seeks to use those tools to analyze and extract critical content from imagery products generated by various sensor systems onboard the aircraft. The operational need for this is critical for unmanned aircraft but certainly not limited to those platforms. The big data analytics toolbox contains a range of techniques for the extraction of features, the automatic parsing, segmenting, indexing and tagging of critical imagery content. Multiple synergistic artificial intelligence (AI) techniques are being utilized to inform those actions in ways to best serve the user’s needs. This SBIR topic seeks to leverage these techniques to better serve time critical military operations.</w:t>
      </w:r>
    </w:p>
    <w:p w14:paraId="09A5C6DB" w14:textId="77777777" w:rsidR="00C9232E" w:rsidRPr="00AA7A47" w:rsidRDefault="00C9232E" w:rsidP="00C9232E">
      <w:pPr>
        <w:rPr>
          <w:rFonts w:eastAsia="Times New Roman" w:cs="Times New Roman"/>
          <w:noProof/>
          <w:color w:val="000000"/>
          <w:sz w:val="22"/>
        </w:rPr>
      </w:pPr>
    </w:p>
    <w:p w14:paraId="37CA791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D94C777" w14:textId="77777777" w:rsidR="00C9232E" w:rsidRPr="00AA7A47" w:rsidRDefault="00C9232E" w:rsidP="00C9232E">
      <w:pPr>
        <w:rPr>
          <w:rFonts w:eastAsia="Times New Roman" w:cs="Times New Roman"/>
          <w:color w:val="000000"/>
          <w:sz w:val="22"/>
        </w:rPr>
      </w:pPr>
    </w:p>
    <w:p w14:paraId="7FB5051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Demonstrate how big data analytics techniques could in principle be used to dramatically reduce data link bandwidth requirements while maintaining or improving the rate at which actionable intelligence is generated. Reductions on the order of 10x threshold and 100x objective are being sought. The scope of the demonstration can be rather limited but must be operationally relevant and sufficient to show feasibility of the proposed approach. The Phase I effort will include prototype plans to be developed under Phase II.</w:t>
      </w:r>
    </w:p>
    <w:p w14:paraId="5E90E359" w14:textId="77777777" w:rsidR="00C9232E" w:rsidRPr="00AA7A47" w:rsidRDefault="00C9232E" w:rsidP="00C9232E">
      <w:pPr>
        <w:rPr>
          <w:rFonts w:eastAsia="Times New Roman" w:cs="Times New Roman"/>
          <w:color w:val="000000"/>
          <w:sz w:val="22"/>
        </w:rPr>
      </w:pPr>
    </w:p>
    <w:p w14:paraId="776EBCBF"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Complete detailed development and demonstrate an end-to-end approach for the intelligent real-time automated extraction of critical sensor imagery products from imaging sensors, like optical, electro-optical, multispectral, hyperspectral, and radar. Show how this will dramatically reduce data-link bandwidth requirements while maintaining or improving the rate at which actionable intelligence is generated.</w:t>
      </w:r>
    </w:p>
    <w:p w14:paraId="6E4BEF68" w14:textId="77777777" w:rsidR="00C9232E" w:rsidRPr="00AA7A47" w:rsidRDefault="00C9232E" w:rsidP="00C9232E">
      <w:pPr>
        <w:rPr>
          <w:rFonts w:eastAsia="Times New Roman" w:cs="Times New Roman"/>
          <w:noProof/>
          <w:color w:val="000000"/>
          <w:sz w:val="22"/>
        </w:rPr>
      </w:pPr>
    </w:p>
    <w:p w14:paraId="722C6B14"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2D14D9AD" w14:textId="77777777" w:rsidR="00C9232E" w:rsidRPr="00AA7A47" w:rsidRDefault="00C9232E" w:rsidP="00C9232E">
      <w:pPr>
        <w:rPr>
          <w:rFonts w:eastAsia="Times New Roman" w:cs="Times New Roman"/>
          <w:color w:val="000000"/>
          <w:sz w:val="22"/>
        </w:rPr>
      </w:pPr>
    </w:p>
    <w:p w14:paraId="13EF7B9F"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lastRenderedPageBreak/>
        <w:t xml:space="preserve">PHASE III DUAL USE APPLICATIONS: </w:t>
      </w:r>
      <w:r w:rsidRPr="00AA7A47">
        <w:rPr>
          <w:rFonts w:eastAsia="Times New Roman" w:cs="Times New Roman"/>
          <w:noProof/>
          <w:color w:val="000000"/>
          <w:sz w:val="22"/>
        </w:rPr>
        <w:t>Refine the solution, perform final testing, and integrate and transition the final solution to Navy airborne platforms. Typical host computational platforms are Ion Intel® Xeon® Scalable processors and successors with greater than 10 TB SSD storage.</w:t>
      </w:r>
    </w:p>
    <w:p w14:paraId="656637F5" w14:textId="77777777" w:rsidR="00C9232E" w:rsidRPr="00AA7A47" w:rsidRDefault="00C9232E" w:rsidP="00C9232E">
      <w:pPr>
        <w:rPr>
          <w:rFonts w:eastAsia="Times New Roman" w:cs="Times New Roman"/>
          <w:noProof/>
          <w:color w:val="000000"/>
          <w:sz w:val="22"/>
        </w:rPr>
      </w:pPr>
    </w:p>
    <w:p w14:paraId="1D7DB0DC"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big-data analytics as applied to data-link information management are applicable to a wide range of applications including law enforcement and border-control surveillance operation.</w:t>
      </w:r>
    </w:p>
    <w:p w14:paraId="79F6AF40" w14:textId="77777777" w:rsidR="00C9232E" w:rsidRPr="00AA7A47" w:rsidRDefault="00C9232E" w:rsidP="00C9232E">
      <w:pPr>
        <w:rPr>
          <w:rFonts w:eastAsia="Times New Roman" w:cs="Times New Roman"/>
          <w:color w:val="000000"/>
          <w:sz w:val="22"/>
        </w:rPr>
      </w:pPr>
    </w:p>
    <w:p w14:paraId="07AE277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3F2C7B10" w14:textId="08DFC4E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Schulte, M. “Real-time feature extraction from video stream data for stream segmentation and tagging.” Diplomarbeit, Dortmund, January 22, 2013. </w:t>
      </w:r>
      <w:hyperlink r:id="rId74" w:history="1">
        <w:r w:rsidR="007D4C08" w:rsidRPr="007743A7">
          <w:rPr>
            <w:rStyle w:val="Hyperlink"/>
            <w:rFonts w:eastAsia="Times New Roman" w:cs="Times New Roman"/>
            <w:noProof/>
            <w:sz w:val="22"/>
          </w:rPr>
          <w:t>http://www-ai.cs.tu-dortmund.de/schulte_2013a.pdf?self=%24dv5v9puha8&amp;part=data</w:t>
        </w:r>
      </w:hyperlink>
      <w:r w:rsidR="007D4C08">
        <w:rPr>
          <w:rFonts w:eastAsia="Times New Roman" w:cs="Times New Roman"/>
          <w:noProof/>
          <w:color w:val="000000"/>
          <w:sz w:val="22"/>
        </w:rPr>
        <w:t xml:space="preserve"> </w:t>
      </w:r>
    </w:p>
    <w:p w14:paraId="5C0B32F4" w14:textId="77777777" w:rsidR="00FB3ABB" w:rsidRDefault="00FB3ABB" w:rsidP="00C9232E">
      <w:pPr>
        <w:rPr>
          <w:rFonts w:eastAsia="Times New Roman" w:cs="Times New Roman"/>
          <w:noProof/>
          <w:color w:val="000000"/>
          <w:sz w:val="22"/>
        </w:rPr>
      </w:pPr>
    </w:p>
    <w:p w14:paraId="2879DA33" w14:textId="16D25FD3"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Griethe, W. “Advanced Broadband Links for Tier III UAV Communication.” DASIA 2011, San Anton, Malta, May 2011. </w:t>
      </w:r>
      <w:hyperlink r:id="rId75" w:history="1">
        <w:r w:rsidR="007D4C08" w:rsidRPr="007743A7">
          <w:rPr>
            <w:rStyle w:val="Hyperlink"/>
            <w:rFonts w:eastAsia="Times New Roman" w:cs="Times New Roman"/>
            <w:noProof/>
            <w:sz w:val="22"/>
          </w:rPr>
          <w:t>https://www.researchgate.net/publication/261727128_ADVANCED_BROADBAND_LINKS_FOR_TIER_III_UAV_DATA_COMMUNICATION</w:t>
        </w:r>
      </w:hyperlink>
      <w:r w:rsidR="007D4C08">
        <w:rPr>
          <w:rFonts w:eastAsia="Times New Roman" w:cs="Times New Roman"/>
          <w:noProof/>
          <w:color w:val="000000"/>
          <w:sz w:val="22"/>
        </w:rPr>
        <w:t xml:space="preserve"> </w:t>
      </w:r>
    </w:p>
    <w:p w14:paraId="65B491A5" w14:textId="77777777" w:rsidR="00C9232E" w:rsidRPr="00AA7A47" w:rsidRDefault="00C9232E" w:rsidP="00C9232E">
      <w:pPr>
        <w:rPr>
          <w:rFonts w:eastAsia="Times New Roman" w:cs="Times New Roman"/>
          <w:color w:val="000000"/>
          <w:sz w:val="22"/>
        </w:rPr>
      </w:pPr>
    </w:p>
    <w:p w14:paraId="5B444CD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Big Data Analytics, Data Links, Information Management, Radar, Electro-Optics, Data Mining, Artificial Intelligence, AI</w:t>
      </w:r>
    </w:p>
    <w:p w14:paraId="6644D581" w14:textId="77777777" w:rsidR="00C9232E" w:rsidRPr="00AA7A47" w:rsidRDefault="00C9232E" w:rsidP="00C9232E">
      <w:pPr>
        <w:rPr>
          <w:rFonts w:eastAsia="Times New Roman" w:cs="Times New Roman"/>
          <w:color w:val="000000"/>
          <w:sz w:val="22"/>
        </w:rPr>
      </w:pPr>
    </w:p>
    <w:p w14:paraId="0AAF521A" w14:textId="77777777" w:rsidR="00C9232E" w:rsidRPr="00AA7A47" w:rsidRDefault="00C9232E" w:rsidP="00C9232E">
      <w:pPr>
        <w:tabs>
          <w:tab w:val="left" w:pos="1260"/>
        </w:tabs>
        <w:ind w:left="270"/>
        <w:rPr>
          <w:rFonts w:eastAsia="Times New Roman" w:cs="Times New Roman"/>
          <w:color w:val="000000"/>
          <w:sz w:val="22"/>
        </w:rPr>
      </w:pPr>
    </w:p>
    <w:p w14:paraId="02ED6B3E" w14:textId="77777777" w:rsidR="00C9232E" w:rsidRPr="00AA7A47" w:rsidRDefault="00C9232E" w:rsidP="00C9232E">
      <w:pPr>
        <w:tabs>
          <w:tab w:val="left" w:pos="1260"/>
        </w:tabs>
        <w:ind w:left="270"/>
        <w:rPr>
          <w:rFonts w:eastAsia="Times New Roman" w:cs="Times New Roman"/>
          <w:color w:val="000000"/>
          <w:sz w:val="22"/>
        </w:rPr>
      </w:pPr>
    </w:p>
    <w:p w14:paraId="6937DB0D" w14:textId="77777777" w:rsidR="00C9232E" w:rsidRPr="00AA7A47" w:rsidRDefault="00C9232E" w:rsidP="00C9232E">
      <w:pPr>
        <w:tabs>
          <w:tab w:val="left" w:pos="1260"/>
        </w:tabs>
        <w:ind w:left="270"/>
        <w:rPr>
          <w:rFonts w:eastAsia="Times New Roman" w:cs="Times New Roman"/>
          <w:color w:val="000000"/>
          <w:sz w:val="22"/>
        </w:rPr>
      </w:pPr>
    </w:p>
    <w:p w14:paraId="1EDB5E0A" w14:textId="77777777" w:rsidR="00C9232E" w:rsidRPr="00AA7A47" w:rsidRDefault="00C9232E" w:rsidP="00C9232E">
      <w:pPr>
        <w:rPr>
          <w:rFonts w:eastAsia="Times New Roman" w:cs="Times New Roman"/>
          <w:color w:val="000000"/>
          <w:sz w:val="22"/>
        </w:rPr>
      </w:pPr>
    </w:p>
    <w:p w14:paraId="60B367B8" w14:textId="77777777" w:rsidR="00C9232E" w:rsidRPr="00AA7A47" w:rsidRDefault="00C9232E" w:rsidP="00C9232E">
      <w:pPr>
        <w:rPr>
          <w:rFonts w:eastAsia="Times New Roman" w:cs="Times New Roman"/>
          <w:color w:val="000000"/>
          <w:sz w:val="22"/>
        </w:rPr>
      </w:pPr>
    </w:p>
    <w:p w14:paraId="5D9EDFA0"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32F5D88A"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N202-102</w:t>
      </w:r>
      <w:r w:rsidRPr="00AA7A47">
        <w:rPr>
          <w:rFonts w:eastAsia="Times New Roman" w:cs="Times New Roman"/>
          <w:color w:val="000000"/>
          <w:sz w:val="22"/>
        </w:rPr>
        <w:tab/>
        <w:t xml:space="preserve">TITLE: </w:t>
      </w:r>
      <w:r w:rsidRPr="00AA7A47">
        <w:rPr>
          <w:rFonts w:eastAsia="Times New Roman" w:cs="Times New Roman"/>
          <w:noProof/>
          <w:color w:val="000000"/>
          <w:sz w:val="22"/>
        </w:rPr>
        <w:t>Low Cost High Performance A Size Sonobuoy Power Amplifier</w:t>
      </w:r>
    </w:p>
    <w:p w14:paraId="1C80F0B0" w14:textId="77777777" w:rsidR="00C9232E" w:rsidRPr="00AA7A47" w:rsidRDefault="00C9232E" w:rsidP="00C9232E">
      <w:pPr>
        <w:rPr>
          <w:rFonts w:eastAsia="Times New Roman" w:cs="Times New Roman"/>
          <w:color w:val="000000"/>
          <w:sz w:val="22"/>
        </w:rPr>
      </w:pPr>
    </w:p>
    <w:p w14:paraId="199E5F8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6BC2FAA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Electronics</w:t>
      </w:r>
    </w:p>
    <w:p w14:paraId="3217DA1A" w14:textId="77777777" w:rsidR="00C9232E" w:rsidRPr="00AA7A47" w:rsidRDefault="00C9232E" w:rsidP="00C9232E">
      <w:pPr>
        <w:rPr>
          <w:rFonts w:eastAsia="Times New Roman" w:cs="Times New Roman"/>
          <w:color w:val="000000"/>
          <w:sz w:val="22"/>
        </w:rPr>
      </w:pPr>
    </w:p>
    <w:p w14:paraId="5816D8B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F84799B" w14:textId="77777777" w:rsidR="00C9232E" w:rsidRPr="00AA7A47" w:rsidRDefault="00C9232E" w:rsidP="00C9232E">
      <w:pPr>
        <w:rPr>
          <w:rFonts w:eastAsia="Times New Roman" w:cs="Times New Roman"/>
          <w:color w:val="000000"/>
          <w:sz w:val="22"/>
        </w:rPr>
      </w:pPr>
    </w:p>
    <w:p w14:paraId="183A380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direct drive power amplifier with a controllable output for an A-size source sonobuoy to mature the latest technologies and achieve significant improvements in the capabilities of source sonobuoys.</w:t>
      </w:r>
    </w:p>
    <w:p w14:paraId="0C853799" w14:textId="77777777" w:rsidR="00C9232E" w:rsidRPr="00AA7A47" w:rsidRDefault="00C9232E" w:rsidP="00C9232E">
      <w:pPr>
        <w:rPr>
          <w:rFonts w:eastAsia="Times New Roman" w:cs="Times New Roman"/>
          <w:color w:val="000000"/>
          <w:sz w:val="22"/>
        </w:rPr>
      </w:pPr>
    </w:p>
    <w:p w14:paraId="6DB2992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A-size sonobuoys currently in use by the Navy require improvement in order to detect the quieter power and propulsion systems of modern vessels. The Navy desires higher sound pressure levels, a broader frequency band (400-600Hz), and a smaller volume (&lt; 35 in. cubed) than today's traditional architectures, as well as a new power amplifier architecture that enhances the performance and capability of an A-size sonobuoy suitable for a future variant of the AN/SSQ-125. </w:t>
      </w:r>
    </w:p>
    <w:p w14:paraId="77A9A229" w14:textId="77777777" w:rsidR="00C9232E" w:rsidRPr="00AA7A47" w:rsidRDefault="00C9232E" w:rsidP="00C9232E">
      <w:pPr>
        <w:rPr>
          <w:rFonts w:eastAsia="Times New Roman" w:cs="Times New Roman"/>
          <w:noProof/>
          <w:color w:val="000000"/>
          <w:sz w:val="22"/>
        </w:rPr>
      </w:pPr>
    </w:p>
    <w:p w14:paraId="41BF05F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power amplifier must have the capability to drive the sonobuoy source over a frequency band of 600 to 1100 Hz. The electrical rating [Refs 3, 4] of the amplifier should be adequate for it to withstand the power draw by the system without an electrical breakdown or mechanical failure (thermal failure). The power amplifier should provide a clean output to the system with a very low harmonic distortion. Today's active sonobuoys are key for the Navy in detecting and tracking targets of interest. However, the range of detection and resolution are limited by the source operational performance. A broader operational bandwidth will allow simultaneous search in multiple sub-bands. As the latest source sonobuoys have tight packaging constraints, a new power amplifier architecture that reduces the volume (&lt; 35 in. cubed approximately equal to Diameter: 4in., Height: 3in.), along with an augmentation in capability, is a future source sonobuoy enabler.</w:t>
      </w:r>
    </w:p>
    <w:p w14:paraId="5855A7EE" w14:textId="77777777" w:rsidR="00C9232E" w:rsidRPr="00AA7A47" w:rsidRDefault="00C9232E" w:rsidP="00C9232E">
      <w:pPr>
        <w:rPr>
          <w:rFonts w:eastAsia="Times New Roman" w:cs="Times New Roman"/>
          <w:noProof/>
          <w:color w:val="000000"/>
          <w:sz w:val="22"/>
        </w:rPr>
      </w:pPr>
    </w:p>
    <w:p w14:paraId="69183A5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power amplifier must be designed so that it can be easily integrated into an A-size sonobuoy. The purpose of this SBIR topic is to design and develop an amplifier that can eventually be incorporated into an AN/SSQ-125. It is recommended to work with the AN/SSQ-125 sonobuoys vendors to understand all the performance specifications and the interface requirements so that the new power amplifier design can be easily integrated into the sonobuoy for demonstration purposes.</w:t>
      </w:r>
    </w:p>
    <w:p w14:paraId="6181FBA2" w14:textId="77777777" w:rsidR="00C9232E" w:rsidRPr="00AA7A47" w:rsidRDefault="00C9232E" w:rsidP="00C9232E">
      <w:pPr>
        <w:rPr>
          <w:rFonts w:eastAsia="Times New Roman" w:cs="Times New Roman"/>
          <w:noProof/>
          <w:color w:val="000000"/>
          <w:sz w:val="22"/>
        </w:rPr>
      </w:pPr>
    </w:p>
    <w:p w14:paraId="529F5742"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key performance objectives of this drive system are as follows: </w:t>
      </w:r>
    </w:p>
    <w:p w14:paraId="45E35DE9" w14:textId="77777777" w:rsidR="00C9232E" w:rsidRPr="00AA7A47" w:rsidRDefault="00C9232E" w:rsidP="00C9232E">
      <w:pPr>
        <w:rPr>
          <w:rFonts w:eastAsia="Times New Roman" w:cs="Times New Roman"/>
          <w:noProof/>
          <w:color w:val="000000"/>
          <w:sz w:val="22"/>
        </w:rPr>
      </w:pPr>
    </w:p>
    <w:p w14:paraId="3E9692CE"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Validate the packaging fit within a volume of 35 in. cubed (Diameter: 4in., Width: 3 in.) (threshold) or in less volume (objective).</w:t>
      </w:r>
    </w:p>
    <w:p w14:paraId="318AB68A"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Validate the control can sweep the power output to operate over the specified frequency band.</w:t>
      </w:r>
    </w:p>
    <w:p w14:paraId="31898D79"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Validate the power amplifier can provide the load required by the transducers.</w:t>
      </w:r>
    </w:p>
    <w:p w14:paraId="05051D6C"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Battery Output:  (5000 W, 50 A, 117 Voc, 5 Ah)</w:t>
      </w:r>
    </w:p>
    <w:p w14:paraId="30467022"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Transducers: (800 – 1100 Vrms)</w:t>
      </w:r>
    </w:p>
    <w:p w14:paraId="19488F29" w14:textId="77777777" w:rsidR="00C9232E" w:rsidRPr="00AA7A47" w:rsidRDefault="00C9232E" w:rsidP="00C34768">
      <w:pPr>
        <w:pStyle w:val="ListParagraph"/>
        <w:numPr>
          <w:ilvl w:val="0"/>
          <w:numId w:val="10"/>
        </w:numPr>
        <w:rPr>
          <w:noProof/>
          <w:color w:val="000000"/>
          <w:sz w:val="22"/>
          <w:szCs w:val="22"/>
        </w:rPr>
      </w:pPr>
      <w:r w:rsidRPr="00AA7A47">
        <w:rPr>
          <w:noProof/>
          <w:color w:val="000000"/>
          <w:sz w:val="22"/>
          <w:szCs w:val="22"/>
        </w:rPr>
        <w:t>Validate it can provide a clean output: Self Noise &lt; 25 dB and THD as follows:</w:t>
      </w:r>
    </w:p>
    <w:p w14:paraId="2CE9D1A9" w14:textId="77777777" w:rsidR="00FB3ABB"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r w:rsidRPr="00AA7A47">
        <w:rPr>
          <w:rFonts w:eastAsia="Times New Roman" w:cs="Times New Roman"/>
          <w:noProof/>
          <w:color w:val="000000"/>
          <w:sz w:val="22"/>
        </w:rPr>
        <w:tab/>
        <w:t xml:space="preserve">  </w:t>
      </w:r>
      <w:r w:rsidRPr="00AA7A47">
        <w:rPr>
          <w:rFonts w:eastAsia="Times New Roman" w:cs="Times New Roman"/>
          <w:noProof/>
          <w:color w:val="000000"/>
          <w:sz w:val="22"/>
        </w:rPr>
        <w:tab/>
      </w:r>
    </w:p>
    <w:p w14:paraId="0FA8E453" w14:textId="34AEB1DA" w:rsidR="00C9232E" w:rsidRPr="00AA7A47" w:rsidRDefault="00C9232E" w:rsidP="00620294">
      <w:pPr>
        <w:ind w:left="720" w:firstLine="720"/>
        <w:rPr>
          <w:rFonts w:eastAsia="Times New Roman" w:cs="Times New Roman"/>
          <w:noProof/>
          <w:color w:val="000000"/>
          <w:sz w:val="22"/>
        </w:rPr>
      </w:pPr>
      <w:r w:rsidRPr="00AA7A47">
        <w:rPr>
          <w:rFonts w:eastAsia="Times New Roman" w:cs="Times New Roman"/>
          <w:noProof/>
          <w:color w:val="000000"/>
          <w:sz w:val="22"/>
        </w:rPr>
        <w:lastRenderedPageBreak/>
        <w:t xml:space="preserve">Harmonics                   Normal Operating       Power Level at Full Power </w:t>
      </w:r>
    </w:p>
    <w:p w14:paraId="5D4C021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r w:rsidRPr="00AA7A47">
        <w:rPr>
          <w:rFonts w:eastAsia="Times New Roman" w:cs="Times New Roman"/>
          <w:noProof/>
          <w:color w:val="000000"/>
          <w:sz w:val="22"/>
        </w:rPr>
        <w:tab/>
        <w:t xml:space="preserve">  </w:t>
      </w:r>
      <w:r w:rsidRPr="00AA7A47">
        <w:rPr>
          <w:rFonts w:eastAsia="Times New Roman" w:cs="Times New Roman"/>
          <w:noProof/>
          <w:color w:val="000000"/>
          <w:sz w:val="22"/>
        </w:rPr>
        <w:tab/>
        <w:t xml:space="preserve">Second                                -16 dB                              -25 dB </w:t>
      </w:r>
    </w:p>
    <w:p w14:paraId="47FA1B0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r w:rsidRPr="00AA7A47">
        <w:rPr>
          <w:rFonts w:eastAsia="Times New Roman" w:cs="Times New Roman"/>
          <w:noProof/>
          <w:color w:val="000000"/>
          <w:sz w:val="22"/>
        </w:rPr>
        <w:tab/>
        <w:t xml:space="preserve">  </w:t>
      </w:r>
      <w:r w:rsidRPr="00AA7A47">
        <w:rPr>
          <w:rFonts w:eastAsia="Times New Roman" w:cs="Times New Roman"/>
          <w:noProof/>
          <w:color w:val="000000"/>
          <w:sz w:val="22"/>
        </w:rPr>
        <w:tab/>
        <w:t xml:space="preserve">Third                                    -30 dB                              -40 dB </w:t>
      </w:r>
    </w:p>
    <w:p w14:paraId="60ECBFF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r w:rsidRPr="00AA7A47">
        <w:rPr>
          <w:rFonts w:eastAsia="Times New Roman" w:cs="Times New Roman"/>
          <w:noProof/>
          <w:color w:val="000000"/>
          <w:sz w:val="22"/>
        </w:rPr>
        <w:tab/>
      </w:r>
      <w:r w:rsidRPr="00AA7A47">
        <w:rPr>
          <w:rFonts w:eastAsia="Times New Roman" w:cs="Times New Roman"/>
          <w:noProof/>
          <w:color w:val="000000"/>
          <w:sz w:val="22"/>
        </w:rPr>
        <w:tab/>
        <w:t>Fourth and above                -50 dB                              -60 dB</w:t>
      </w:r>
    </w:p>
    <w:p w14:paraId="758DB621" w14:textId="77777777" w:rsidR="00C9232E" w:rsidRPr="00AA7A47" w:rsidRDefault="00C9232E" w:rsidP="00C9232E">
      <w:pPr>
        <w:rPr>
          <w:rFonts w:eastAsia="Times New Roman" w:cs="Times New Roman"/>
          <w:noProof/>
          <w:color w:val="000000"/>
          <w:sz w:val="22"/>
        </w:rPr>
      </w:pPr>
    </w:p>
    <w:p w14:paraId="589107CC"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Specifications Requirements:</w:t>
      </w:r>
    </w:p>
    <w:p w14:paraId="4EE50808" w14:textId="77777777" w:rsidR="00C9232E" w:rsidRPr="00AA7A47" w:rsidRDefault="00C9232E" w:rsidP="00C9232E">
      <w:pPr>
        <w:rPr>
          <w:rFonts w:eastAsia="Times New Roman" w:cs="Times New Roman"/>
          <w:noProof/>
          <w:color w:val="000000"/>
          <w:sz w:val="22"/>
        </w:rPr>
      </w:pPr>
    </w:p>
    <w:p w14:paraId="4371FC77" w14:textId="77777777" w:rsidR="00C9232E" w:rsidRPr="00AA7A47" w:rsidRDefault="00C9232E" w:rsidP="00C34768">
      <w:pPr>
        <w:pStyle w:val="ListParagraph"/>
        <w:numPr>
          <w:ilvl w:val="0"/>
          <w:numId w:val="11"/>
        </w:numPr>
        <w:rPr>
          <w:noProof/>
          <w:color w:val="000000"/>
          <w:sz w:val="22"/>
          <w:szCs w:val="22"/>
        </w:rPr>
      </w:pPr>
      <w:r w:rsidRPr="00AA7A47">
        <w:rPr>
          <w:noProof/>
          <w:color w:val="000000"/>
          <w:sz w:val="22"/>
          <w:szCs w:val="22"/>
        </w:rPr>
        <w:t>The amplifier electrical performance should be tested accordingly to DOD standards (MIL-STD-202G [Ref 3] &amp; MIL-STD-883K [Ref 4])</w:t>
      </w:r>
    </w:p>
    <w:p w14:paraId="06EF27BE" w14:textId="77777777" w:rsidR="00C9232E" w:rsidRPr="00AA7A47" w:rsidRDefault="00C9232E" w:rsidP="00C34768">
      <w:pPr>
        <w:pStyle w:val="ListParagraph"/>
        <w:numPr>
          <w:ilvl w:val="0"/>
          <w:numId w:val="11"/>
        </w:numPr>
        <w:rPr>
          <w:noProof/>
          <w:color w:val="000000"/>
          <w:sz w:val="22"/>
          <w:szCs w:val="22"/>
        </w:rPr>
      </w:pPr>
      <w:r w:rsidRPr="00AA7A47">
        <w:rPr>
          <w:noProof/>
          <w:color w:val="000000"/>
          <w:sz w:val="22"/>
          <w:szCs w:val="22"/>
        </w:rPr>
        <w:t>The amplifier must meet DOD electromagnetic compatibility standards (MIL-STD-461G [Ref 5] &amp; MIL-STD-464C [Ref 6])</w:t>
      </w:r>
    </w:p>
    <w:p w14:paraId="1FD45494" w14:textId="77777777" w:rsidR="00C9232E" w:rsidRPr="00AA7A47" w:rsidRDefault="00C9232E" w:rsidP="00C34768">
      <w:pPr>
        <w:pStyle w:val="ListParagraph"/>
        <w:numPr>
          <w:ilvl w:val="0"/>
          <w:numId w:val="11"/>
        </w:numPr>
        <w:rPr>
          <w:noProof/>
          <w:color w:val="000000"/>
          <w:sz w:val="22"/>
          <w:szCs w:val="22"/>
        </w:rPr>
      </w:pPr>
      <w:r w:rsidRPr="00AA7A47">
        <w:rPr>
          <w:noProof/>
          <w:color w:val="000000"/>
          <w:sz w:val="22"/>
          <w:szCs w:val="22"/>
        </w:rPr>
        <w:t>The amplifier must be waterproof and manufacture tailored to sonobuoy environments. (MIL-STD-810H [Ref 7])</w:t>
      </w:r>
    </w:p>
    <w:p w14:paraId="2FBD8038" w14:textId="77777777" w:rsidR="00C9232E" w:rsidRPr="00AA7A47" w:rsidRDefault="00C9232E" w:rsidP="00C34768">
      <w:pPr>
        <w:pStyle w:val="ListParagraph"/>
        <w:numPr>
          <w:ilvl w:val="0"/>
          <w:numId w:val="11"/>
        </w:numPr>
        <w:rPr>
          <w:noProof/>
          <w:color w:val="000000"/>
          <w:sz w:val="22"/>
          <w:szCs w:val="22"/>
        </w:rPr>
      </w:pPr>
      <w:r w:rsidRPr="00AA7A47">
        <w:rPr>
          <w:noProof/>
          <w:color w:val="000000"/>
          <w:sz w:val="22"/>
          <w:szCs w:val="22"/>
        </w:rPr>
        <w:t>The amplifier must be able to withstand a depth of 65 – 1000ft (65 -500ft threshold) (MIL-STD-1522 [Ref 8])</w:t>
      </w:r>
    </w:p>
    <w:p w14:paraId="13EC9EA4" w14:textId="77777777" w:rsidR="00C9232E" w:rsidRPr="00AA7A47" w:rsidRDefault="00C9232E" w:rsidP="00C9232E">
      <w:pPr>
        <w:rPr>
          <w:rFonts w:eastAsia="Times New Roman" w:cs="Times New Roman"/>
          <w:noProof/>
          <w:color w:val="000000"/>
          <w:sz w:val="22"/>
        </w:rPr>
      </w:pPr>
    </w:p>
    <w:p w14:paraId="778EB93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Although not required, it is highly recommended that the performer to work in coordination with the original equipment manufacturer (OEM) to ensure proper design and to facilitate transition of the final technology.</w:t>
      </w:r>
    </w:p>
    <w:p w14:paraId="39636ECF" w14:textId="77777777" w:rsidR="00C9232E" w:rsidRPr="00B73F8F" w:rsidRDefault="00C9232E" w:rsidP="00C9232E">
      <w:pPr>
        <w:rPr>
          <w:rFonts w:eastAsia="Times New Roman" w:cs="Times New Roman"/>
          <w:noProof/>
          <w:color w:val="000000"/>
        </w:rPr>
      </w:pPr>
    </w:p>
    <w:p w14:paraId="369EC528"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contract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3FE4DBA" w14:textId="77777777" w:rsidR="00C9232E" w:rsidRPr="00AA7A47" w:rsidRDefault="00C9232E" w:rsidP="00C9232E">
      <w:pPr>
        <w:rPr>
          <w:rFonts w:eastAsia="Times New Roman" w:cs="Times New Roman"/>
          <w:color w:val="000000"/>
          <w:sz w:val="22"/>
        </w:rPr>
      </w:pPr>
    </w:p>
    <w:p w14:paraId="4DF882E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a power amplifier with a new architecture for an AN/SSQ-125 sonobuoy. The design approach must be compatible with the existing AN/SSQ-125, including the interfaces with the battery and the projector elements. It must fit within the current volume within the AN/SSQ-125.The complete approach that will be pursued must be established in Phase I. Appropriate analyses and top-level drawings should be provided. Demonstrated the design is feasible and cost effective for production. The Phase I effort will include prototype plans to be developed under Phase II.</w:t>
      </w:r>
    </w:p>
    <w:p w14:paraId="51C2C9CF" w14:textId="77777777" w:rsidR="00C9232E" w:rsidRPr="00AA7A47" w:rsidRDefault="00C9232E" w:rsidP="00C9232E">
      <w:pPr>
        <w:rPr>
          <w:rFonts w:eastAsia="Times New Roman" w:cs="Times New Roman"/>
          <w:color w:val="000000"/>
          <w:sz w:val="22"/>
        </w:rPr>
      </w:pPr>
    </w:p>
    <w:p w14:paraId="38C4E7A3"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Finalize the design, manufacture, and validate that the new design of the power amplifier meets the specified requirements using a power source and dummy loads. Integrate it into an AN/SSQ-125. Demonstrate its performance in an underwater test at NAVSEA Seneca Lake Sonar Test Facility at Dresden, N.Y. using five AN/SSQ-125 sonobuoys. If necessary, make adjustments to the design, fabricate revised prototypes, and repeat the testing and model verification regime. </w:t>
      </w:r>
    </w:p>
    <w:p w14:paraId="74F71F18" w14:textId="77777777" w:rsidR="00C9232E" w:rsidRPr="00AA7A47" w:rsidRDefault="00C9232E" w:rsidP="00C9232E">
      <w:pPr>
        <w:rPr>
          <w:rFonts w:eastAsia="Times New Roman" w:cs="Times New Roman"/>
          <w:noProof/>
          <w:color w:val="000000"/>
          <w:sz w:val="22"/>
        </w:rPr>
      </w:pPr>
    </w:p>
    <w:p w14:paraId="4770D57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It is probable that the work under this effort will be classified under Phase II (see Description section for details).</w:t>
      </w:r>
    </w:p>
    <w:p w14:paraId="4EBA899A" w14:textId="77777777" w:rsidR="00C9232E" w:rsidRPr="00AA7A47" w:rsidRDefault="00C9232E" w:rsidP="00C9232E">
      <w:pPr>
        <w:rPr>
          <w:rFonts w:eastAsia="Times New Roman" w:cs="Times New Roman"/>
          <w:color w:val="000000"/>
          <w:sz w:val="22"/>
        </w:rPr>
      </w:pPr>
    </w:p>
    <w:p w14:paraId="653DC271"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Continue to refine and test extensively the fabricated prototype, including testing for severe environmental conditions. Revamp the new power amplifier as required and develop the design for manufacturing. Develop low-rate initial production prototypes for follow-on Government testing.</w:t>
      </w:r>
    </w:p>
    <w:p w14:paraId="0D595FAA" w14:textId="77777777" w:rsidR="00C9232E" w:rsidRPr="00AA7A47" w:rsidRDefault="00C9232E" w:rsidP="00C9232E">
      <w:pPr>
        <w:rPr>
          <w:rFonts w:eastAsia="Times New Roman" w:cs="Times New Roman"/>
          <w:noProof/>
          <w:color w:val="000000"/>
          <w:sz w:val="22"/>
        </w:rPr>
      </w:pPr>
    </w:p>
    <w:p w14:paraId="38B7C4D7"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lastRenderedPageBreak/>
        <w:t>Successful technology development would benefit all U.S. Navy source sonobuoys as well as underwater oil and gas equipment operation monitoring. This technology could also be a cost reduction for the price of the source sonobuoy and would provide significant ROI on the many years of follow-on source sonobuoy production (as per buoy price savings) on the invested SBIR funds. This innovation could be used by the audio industry (headphone amplifiers), the geography industry (terrain mapping equipment), and academia (ocean studies, bathymetry, etc.)</w:t>
      </w:r>
    </w:p>
    <w:p w14:paraId="7D073BE7" w14:textId="77777777" w:rsidR="00C9232E" w:rsidRPr="00AA7A47" w:rsidRDefault="00C9232E" w:rsidP="00C9232E">
      <w:pPr>
        <w:rPr>
          <w:rFonts w:eastAsia="Times New Roman" w:cs="Times New Roman"/>
          <w:color w:val="000000"/>
          <w:sz w:val="22"/>
        </w:rPr>
      </w:pPr>
    </w:p>
    <w:p w14:paraId="1991F7E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FE0B489" w14:textId="2D316EE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Holler, R.A., Horbach, A.W. and McEachern, J.F. “The Ears of Air ASW – A History of U.S. Navy Sonobuoys.” Navmar Applied Sciences Corporation, 2008. https://www.worldcat.org/title/ears-of-air-asw-a-history-of-us-navy-sonobuoys/oclc/720627294 or </w:t>
      </w:r>
      <w:hyperlink r:id="rId76" w:history="1">
        <w:r w:rsidR="00074C10" w:rsidRPr="007743A7">
          <w:rPr>
            <w:rStyle w:val="Hyperlink"/>
            <w:rFonts w:eastAsia="Times New Roman" w:cs="Times New Roman"/>
            <w:noProof/>
            <w:sz w:val="22"/>
          </w:rPr>
          <w:t>https://books.google.com/books/about/The_Ears_of_Air_ASW.html?id=VKP-twEACAAJ</w:t>
        </w:r>
      </w:hyperlink>
      <w:r w:rsidR="00074C10">
        <w:rPr>
          <w:rFonts w:eastAsia="Times New Roman" w:cs="Times New Roman"/>
          <w:noProof/>
          <w:color w:val="000000"/>
          <w:sz w:val="22"/>
        </w:rPr>
        <w:t xml:space="preserve"> </w:t>
      </w:r>
    </w:p>
    <w:p w14:paraId="64C3AFC3" w14:textId="77777777" w:rsidR="00620294" w:rsidRDefault="00620294" w:rsidP="00C9232E">
      <w:pPr>
        <w:rPr>
          <w:rFonts w:eastAsia="Times New Roman" w:cs="Times New Roman"/>
          <w:noProof/>
          <w:color w:val="000000"/>
          <w:sz w:val="22"/>
        </w:rPr>
      </w:pPr>
    </w:p>
    <w:p w14:paraId="3A7AAE28" w14:textId="2BAD774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Sherman, C.H., and Butler, J. "Transducers and Arrays for Underwater Sound.” Springer Science+Business Media, 2007. IBSN:978-0 -387-32940-6. </w:t>
      </w:r>
      <w:hyperlink r:id="rId77" w:history="1">
        <w:r w:rsidR="00074C10" w:rsidRPr="007743A7">
          <w:rPr>
            <w:rStyle w:val="Hyperlink"/>
            <w:rFonts w:eastAsia="Times New Roman" w:cs="Times New Roman"/>
            <w:noProof/>
            <w:sz w:val="22"/>
          </w:rPr>
          <w:t>https://link.springer.com/book/10.1007/978-0-387-33139-3</w:t>
        </w:r>
      </w:hyperlink>
      <w:r w:rsidR="00074C10">
        <w:rPr>
          <w:rFonts w:eastAsia="Times New Roman" w:cs="Times New Roman"/>
          <w:noProof/>
          <w:color w:val="000000"/>
          <w:sz w:val="22"/>
        </w:rPr>
        <w:t xml:space="preserve"> </w:t>
      </w:r>
    </w:p>
    <w:p w14:paraId="5FB64D16" w14:textId="77777777" w:rsidR="00620294" w:rsidRDefault="00620294" w:rsidP="00C9232E">
      <w:pPr>
        <w:rPr>
          <w:rFonts w:eastAsia="Times New Roman" w:cs="Times New Roman"/>
          <w:noProof/>
          <w:color w:val="000000"/>
          <w:sz w:val="22"/>
        </w:rPr>
      </w:pPr>
    </w:p>
    <w:p w14:paraId="0971B5CA" w14:textId="642EBD94" w:rsidR="00620294"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MIL-STD-202H (CONSOLIDATED), DEPARTMENT OF DEFENSE TEST METHOD STANDARD: ELECTRONIC AND ELECTRICAL COMPONENT PARTS (18-APR-2015) </w:t>
      </w:r>
      <w:hyperlink r:id="rId78" w:history="1">
        <w:r w:rsidR="00074C10" w:rsidRPr="007743A7">
          <w:rPr>
            <w:rStyle w:val="Hyperlink"/>
            <w:rFonts w:eastAsia="Times New Roman" w:cs="Times New Roman"/>
            <w:noProof/>
            <w:sz w:val="22"/>
          </w:rPr>
          <w:t>http://everyspec.com/MIL-STD/MIL-STD-0100-0299/MIL-STD-202H_CONSOLIDATED_18APR2015_52148/</w:t>
        </w:r>
      </w:hyperlink>
      <w:r w:rsidR="00074C10">
        <w:rPr>
          <w:rFonts w:eastAsia="Times New Roman" w:cs="Times New Roman"/>
          <w:noProof/>
          <w:color w:val="000000"/>
          <w:sz w:val="22"/>
        </w:rPr>
        <w:t xml:space="preserve"> </w:t>
      </w:r>
    </w:p>
    <w:p w14:paraId="6D12D7B7" w14:textId="77777777" w:rsidR="00620294" w:rsidRDefault="00620294" w:rsidP="00C9232E">
      <w:pPr>
        <w:rPr>
          <w:rFonts w:eastAsia="Times New Roman" w:cs="Times New Roman"/>
          <w:noProof/>
          <w:color w:val="000000"/>
          <w:sz w:val="22"/>
        </w:rPr>
      </w:pPr>
    </w:p>
    <w:p w14:paraId="0F780BD3" w14:textId="4F9D0C0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MIL-STD-883K (w/ CHANGE-3), DEPARTMENT OF DEFENSE TEST METHOD STANDARD: MICROCIRCUITS (03-MAY-2018) </w:t>
      </w:r>
      <w:hyperlink r:id="rId79" w:history="1">
        <w:r w:rsidR="00074C10" w:rsidRPr="007743A7">
          <w:rPr>
            <w:rStyle w:val="Hyperlink"/>
            <w:rFonts w:eastAsia="Times New Roman" w:cs="Times New Roman"/>
            <w:noProof/>
            <w:sz w:val="22"/>
          </w:rPr>
          <w:t>http://everyspec.com/MIL-STD/MIL-STD-0800-0899/MIL-STD-883K_CHG-3_55826/</w:t>
        </w:r>
      </w:hyperlink>
      <w:r w:rsidR="00074C10">
        <w:rPr>
          <w:rFonts w:eastAsia="Times New Roman" w:cs="Times New Roman"/>
          <w:noProof/>
          <w:color w:val="000000"/>
          <w:sz w:val="22"/>
        </w:rPr>
        <w:t xml:space="preserve"> </w:t>
      </w:r>
    </w:p>
    <w:p w14:paraId="48950DCB" w14:textId="77777777" w:rsidR="00620294" w:rsidRDefault="00620294" w:rsidP="00C9232E">
      <w:pPr>
        <w:rPr>
          <w:rFonts w:eastAsia="Times New Roman" w:cs="Times New Roman"/>
          <w:noProof/>
          <w:color w:val="000000"/>
          <w:sz w:val="22"/>
        </w:rPr>
      </w:pPr>
    </w:p>
    <w:p w14:paraId="376264BE" w14:textId="17B407FF" w:rsidR="00670FD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MIL-STD-461G, DEPARTMENT OF DEFENSE INTERFACE STANDARD: REQUIREMENTS FOR THE CONTROL OF ELECTROMAGNETIC INTERFERENCE CHARACTERISTICS OF SUBSYSTEMS AND EQUIPMENT (11-DEC-2015) </w:t>
      </w:r>
      <w:hyperlink r:id="rId80" w:history="1">
        <w:r w:rsidR="00074C10" w:rsidRPr="007743A7">
          <w:rPr>
            <w:rStyle w:val="Hyperlink"/>
            <w:rFonts w:eastAsia="Times New Roman" w:cs="Times New Roman"/>
            <w:noProof/>
            <w:sz w:val="22"/>
          </w:rPr>
          <w:t>http://everyspec.com/MIL-STD/MIL-STD-0300-0499/MIL-STD-461G_53571/</w:t>
        </w:r>
      </w:hyperlink>
      <w:r w:rsidR="00074C10">
        <w:rPr>
          <w:rFonts w:eastAsia="Times New Roman" w:cs="Times New Roman"/>
          <w:noProof/>
          <w:color w:val="000000"/>
          <w:sz w:val="22"/>
        </w:rPr>
        <w:t xml:space="preserve"> </w:t>
      </w:r>
    </w:p>
    <w:p w14:paraId="6377F4F9" w14:textId="77777777" w:rsidR="00670FDE" w:rsidRDefault="00670FDE" w:rsidP="00C9232E">
      <w:pPr>
        <w:rPr>
          <w:rFonts w:eastAsia="Times New Roman" w:cs="Times New Roman"/>
          <w:noProof/>
          <w:color w:val="000000"/>
          <w:sz w:val="22"/>
        </w:rPr>
      </w:pPr>
    </w:p>
    <w:p w14:paraId="0B6A6896" w14:textId="1F5AD693"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MIL-STD-464C, DEPARTMENT OF DEFENSE INTERFACE STANDARD: ELECTROMAGNETIC ENVIRONMENTAL EFFECTS, REQUIREMENTS FOR SYSTEMS (01 DEC 2010) </w:t>
      </w:r>
      <w:hyperlink r:id="rId81" w:history="1">
        <w:r w:rsidR="00074C10" w:rsidRPr="007743A7">
          <w:rPr>
            <w:rStyle w:val="Hyperlink"/>
            <w:rFonts w:eastAsia="Times New Roman" w:cs="Times New Roman"/>
            <w:noProof/>
            <w:sz w:val="22"/>
          </w:rPr>
          <w:t>http://everyspec.com/MIL-STD/MIL-STD-0300-0499/MIL-STD-464C_28312/</w:t>
        </w:r>
      </w:hyperlink>
      <w:r w:rsidR="00074C10">
        <w:rPr>
          <w:rFonts w:eastAsia="Times New Roman" w:cs="Times New Roman"/>
          <w:noProof/>
          <w:color w:val="000000"/>
          <w:sz w:val="22"/>
        </w:rPr>
        <w:t xml:space="preserve"> </w:t>
      </w:r>
    </w:p>
    <w:p w14:paraId="0B7CD3C1" w14:textId="77777777" w:rsidR="00670FDE" w:rsidRDefault="00670FDE" w:rsidP="00C9232E">
      <w:pPr>
        <w:rPr>
          <w:rFonts w:eastAsia="Times New Roman" w:cs="Times New Roman"/>
          <w:noProof/>
          <w:color w:val="000000"/>
          <w:sz w:val="22"/>
        </w:rPr>
      </w:pPr>
    </w:p>
    <w:p w14:paraId="3E5A7AE9" w14:textId="7BE67345" w:rsidR="00670FD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7. MIL-STD-810H, DEPARTMENT OF DEFENSE TEST METHOD STANDARD: ENVIRONMENTAL ENGINEERING CONSIDERATIONS AND LABORATORY TESTS (31-JAN-2019) </w:t>
      </w:r>
      <w:hyperlink r:id="rId82" w:history="1">
        <w:r w:rsidR="00074C10" w:rsidRPr="007743A7">
          <w:rPr>
            <w:rStyle w:val="Hyperlink"/>
            <w:rFonts w:eastAsia="Times New Roman" w:cs="Times New Roman"/>
            <w:noProof/>
            <w:sz w:val="22"/>
          </w:rPr>
          <w:t>http://everyspec.com/MIL-STD/MIL-STD-0800-0899/MIL-STD-810H_55998/</w:t>
        </w:r>
      </w:hyperlink>
      <w:r w:rsidR="00074C10">
        <w:rPr>
          <w:rFonts w:eastAsia="Times New Roman" w:cs="Times New Roman"/>
          <w:noProof/>
          <w:color w:val="000000"/>
          <w:sz w:val="22"/>
        </w:rPr>
        <w:t xml:space="preserve"> </w:t>
      </w:r>
    </w:p>
    <w:p w14:paraId="68FB544E" w14:textId="77777777" w:rsidR="00670FDE" w:rsidRDefault="00670FDE" w:rsidP="00C9232E">
      <w:pPr>
        <w:rPr>
          <w:rFonts w:eastAsia="Times New Roman" w:cs="Times New Roman"/>
          <w:noProof/>
          <w:color w:val="000000"/>
          <w:sz w:val="22"/>
        </w:rPr>
      </w:pPr>
    </w:p>
    <w:p w14:paraId="0C3AE82F" w14:textId="434EDCA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8. MIL-STD-1522A, MILITARY STANDARD: STANDARD GENERAL REQUIREMENTS FOR SAFE DESIGN AND OPERATION OF PRESSURIZED MISSILE AND SPACE SYSTEMS (28-MAY-1984) </w:t>
      </w:r>
      <w:hyperlink r:id="rId83" w:history="1">
        <w:r w:rsidR="00074C10" w:rsidRPr="007743A7">
          <w:rPr>
            <w:rStyle w:val="Hyperlink"/>
            <w:rFonts w:eastAsia="Times New Roman" w:cs="Times New Roman"/>
            <w:noProof/>
            <w:sz w:val="22"/>
          </w:rPr>
          <w:t>http://everyspec.com/MIL-STD/MIL-STD-1500-1599/MIL_STD_1522A_1429/</w:t>
        </w:r>
      </w:hyperlink>
      <w:r w:rsidR="00074C10">
        <w:rPr>
          <w:rFonts w:eastAsia="Times New Roman" w:cs="Times New Roman"/>
          <w:noProof/>
          <w:color w:val="000000"/>
          <w:sz w:val="22"/>
        </w:rPr>
        <w:t xml:space="preserve"> </w:t>
      </w:r>
    </w:p>
    <w:p w14:paraId="4AEA1490" w14:textId="77777777" w:rsidR="00C9232E" w:rsidRPr="00AA7A47" w:rsidRDefault="00C9232E" w:rsidP="00C9232E">
      <w:pPr>
        <w:rPr>
          <w:rFonts w:eastAsia="Times New Roman" w:cs="Times New Roman"/>
          <w:color w:val="000000"/>
          <w:sz w:val="22"/>
        </w:rPr>
      </w:pPr>
    </w:p>
    <w:p w14:paraId="1123A8B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Active Sonobuoy, Anti-Submarine Warfare, ASW, AN/SSQ-125, Direct Drive Amplifier, A-size</w:t>
      </w:r>
    </w:p>
    <w:p w14:paraId="200C2423" w14:textId="77777777" w:rsidR="00C9232E" w:rsidRPr="00AA7A47" w:rsidRDefault="00C9232E" w:rsidP="00C9232E">
      <w:pPr>
        <w:rPr>
          <w:rFonts w:eastAsia="Times New Roman" w:cs="Times New Roman"/>
          <w:color w:val="000000"/>
          <w:sz w:val="22"/>
        </w:rPr>
      </w:pPr>
    </w:p>
    <w:p w14:paraId="385C710C" w14:textId="77777777" w:rsidR="00C9232E" w:rsidRPr="00AA7A47" w:rsidRDefault="00C9232E" w:rsidP="00C9232E">
      <w:pPr>
        <w:tabs>
          <w:tab w:val="left" w:pos="1260"/>
        </w:tabs>
        <w:ind w:left="270"/>
        <w:rPr>
          <w:rFonts w:eastAsia="Times New Roman" w:cs="Times New Roman"/>
          <w:color w:val="000000"/>
          <w:sz w:val="22"/>
        </w:rPr>
      </w:pPr>
    </w:p>
    <w:p w14:paraId="23449310" w14:textId="77777777" w:rsidR="00C9232E" w:rsidRPr="00AA7A47" w:rsidRDefault="00C9232E" w:rsidP="00C9232E">
      <w:pPr>
        <w:rPr>
          <w:rFonts w:eastAsia="Times New Roman" w:cs="Times New Roman"/>
          <w:color w:val="000000"/>
          <w:sz w:val="22"/>
        </w:rPr>
      </w:pPr>
    </w:p>
    <w:p w14:paraId="18CA8204" w14:textId="77777777" w:rsidR="00C9232E" w:rsidRPr="00AA7A47" w:rsidRDefault="00C9232E" w:rsidP="00C9232E">
      <w:pPr>
        <w:rPr>
          <w:rFonts w:eastAsia="Times New Roman" w:cs="Times New Roman"/>
          <w:color w:val="000000"/>
          <w:sz w:val="22"/>
        </w:rPr>
      </w:pPr>
    </w:p>
    <w:p w14:paraId="2BEA8595"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5F136C76"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N202-103</w:t>
      </w:r>
      <w:r w:rsidRPr="00AA7A47">
        <w:rPr>
          <w:rFonts w:eastAsia="Times New Roman" w:cs="Times New Roman"/>
          <w:color w:val="000000"/>
          <w:sz w:val="22"/>
        </w:rPr>
        <w:tab/>
        <w:t xml:space="preserve">TITLE: </w:t>
      </w:r>
      <w:r w:rsidRPr="00AA7A47">
        <w:rPr>
          <w:rFonts w:eastAsia="Times New Roman" w:cs="Times New Roman"/>
          <w:noProof/>
          <w:color w:val="000000"/>
          <w:sz w:val="22"/>
        </w:rPr>
        <w:t>Software Toolset for Rapid Finite Element (FE) Mesh Generation of As-Built Large Laminated Composite Structural Components</w:t>
      </w:r>
    </w:p>
    <w:p w14:paraId="0734C1B6" w14:textId="77777777" w:rsidR="00C9232E" w:rsidRPr="00AA7A47" w:rsidRDefault="00C9232E" w:rsidP="00C9232E">
      <w:pPr>
        <w:rPr>
          <w:rFonts w:eastAsia="Times New Roman" w:cs="Times New Roman"/>
          <w:color w:val="000000"/>
          <w:sz w:val="22"/>
        </w:rPr>
      </w:pPr>
    </w:p>
    <w:p w14:paraId="0DF82A9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0487145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Materials</w:t>
      </w:r>
    </w:p>
    <w:p w14:paraId="4D24F306" w14:textId="77777777" w:rsidR="00C9232E" w:rsidRPr="00AA7A47" w:rsidRDefault="00C9232E" w:rsidP="00C9232E">
      <w:pPr>
        <w:rPr>
          <w:rFonts w:eastAsia="Times New Roman" w:cs="Times New Roman"/>
          <w:color w:val="000000"/>
          <w:sz w:val="22"/>
        </w:rPr>
      </w:pPr>
    </w:p>
    <w:p w14:paraId="1D8C12B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software toolkit enabling automated generation of Finite Element (FE) meshes to rapidly assess structural capability of as-built and damaged composite structures from Computed Tomography (CT) scan data that accurately captures ply layers, ply-orientations, ply drops, and fiber-resin densities. The mesh should include manufacturing defects such as waviness, air pockets, porosities, and other CT-revealed observable anomalies/defects/damages.</w:t>
      </w:r>
    </w:p>
    <w:p w14:paraId="21B68851" w14:textId="77777777" w:rsidR="00C9232E" w:rsidRPr="00AA7A47" w:rsidRDefault="00C9232E" w:rsidP="00C9232E">
      <w:pPr>
        <w:rPr>
          <w:rFonts w:eastAsia="Times New Roman" w:cs="Times New Roman"/>
          <w:color w:val="000000"/>
          <w:sz w:val="22"/>
        </w:rPr>
      </w:pPr>
    </w:p>
    <w:p w14:paraId="729847BE"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Advanced rotors for vertical lift aircraft and wings on many U.S. Navy fixed wing aircraft are complex assemblies made primarily from composites. CT scans can provide the foundation for analyses of these structures that accurately model manufacturing defects and the quality of a repair. The references cited demonstrate algorithm technologies capable of transitioning CT scans into composite structural FE models. An FE model that accurately captures the in-situ condition of a questionable manufactured part will improve speed, accuracy and consistency in disposition instructions for these non-conforming wings and rotor blades. An FE model that accurately captures the in-situ condition of a new repair will provide stress and strain comparisons to adjacent authorized high stress locations of identical materials. The span of flaw sizes between what is acceptable and what is unacceptable is very large in complex composite structures. Converting the CT scans with authorized manufacturing defects into an FE mesh will provide an analytical stress threshold for assessing these gray areas and for developing repairs to the scanned component. The proposed solution should address the following key requirements:</w:t>
      </w:r>
    </w:p>
    <w:p w14:paraId="57052654" w14:textId="77777777" w:rsidR="00C9232E" w:rsidRPr="00AA7A47" w:rsidRDefault="00C9232E" w:rsidP="00C9232E">
      <w:pPr>
        <w:rPr>
          <w:rFonts w:eastAsia="Times New Roman" w:cs="Times New Roman"/>
          <w:noProof/>
          <w:color w:val="000000"/>
          <w:sz w:val="22"/>
        </w:rPr>
      </w:pPr>
    </w:p>
    <w:p w14:paraId="7B9C4A57" w14:textId="77777777" w:rsidR="00C9232E" w:rsidRPr="00AA7A47" w:rsidRDefault="00C9232E" w:rsidP="00C34768">
      <w:pPr>
        <w:pStyle w:val="ListParagraph"/>
        <w:numPr>
          <w:ilvl w:val="0"/>
          <w:numId w:val="12"/>
        </w:numPr>
        <w:rPr>
          <w:noProof/>
          <w:color w:val="000000"/>
          <w:sz w:val="22"/>
          <w:szCs w:val="22"/>
        </w:rPr>
      </w:pPr>
      <w:r w:rsidRPr="00AA7A47">
        <w:rPr>
          <w:noProof/>
          <w:color w:val="000000"/>
          <w:sz w:val="22"/>
          <w:szCs w:val="22"/>
        </w:rPr>
        <w:t>The ability to generate accurate subsurface geometry data for a composite structure that includes all manufacturing defects such as wrinkles and voids at ply interfaces.</w:t>
      </w:r>
    </w:p>
    <w:p w14:paraId="35DCE60A" w14:textId="77777777" w:rsidR="00C9232E" w:rsidRPr="00AA7A47" w:rsidRDefault="00C9232E" w:rsidP="00C34768">
      <w:pPr>
        <w:pStyle w:val="ListParagraph"/>
        <w:numPr>
          <w:ilvl w:val="0"/>
          <w:numId w:val="12"/>
        </w:numPr>
        <w:rPr>
          <w:noProof/>
          <w:color w:val="000000"/>
          <w:sz w:val="22"/>
          <w:szCs w:val="22"/>
        </w:rPr>
      </w:pPr>
      <w:r w:rsidRPr="00AA7A47">
        <w:rPr>
          <w:noProof/>
          <w:color w:val="000000"/>
          <w:sz w:val="22"/>
          <w:szCs w:val="22"/>
        </w:rPr>
        <w:t>The ability to automate the conversion from geometry data to structural FE models, where the structural FE models will reveal the influence of these defects on strength and fatigue performance for do-no-harm repairs, life-improvement design changes, and disposition instructions.</w:t>
      </w:r>
    </w:p>
    <w:p w14:paraId="7671DFF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09AA6B91"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finite element mesh must be applicable to progressive damage analysis of laminated composite structure including manufacturing defects such as wrinkles, marcels, foreign object debris, and ply interface voids. Besides developing possible repairs for field-damaged components, brand new parts will benefit from this software toolkit. Manufacturing processes used to produce thick composite structures can generate defects that could impact their performance and service life. Determining disposition instructions for these new components involves Material Review Board (MRB) efforts that can be long and tiresome. Existing tools used to measure defects with the attempted recreation of these defects in test coupons can result in a perpetually delayed decision about the part’s acceptability. The difficulty in assessing defects may result in storing the rotor blades or wings in a warehouse until technological capabilities become available to determine what actions to take: scrap, repair, or sell as-is.</w:t>
      </w:r>
    </w:p>
    <w:p w14:paraId="69ED42F6" w14:textId="77777777" w:rsidR="00C9232E" w:rsidRPr="00AA7A47" w:rsidRDefault="00C9232E" w:rsidP="00C9232E">
      <w:pPr>
        <w:rPr>
          <w:rFonts w:eastAsia="Times New Roman" w:cs="Times New Roman"/>
          <w:noProof/>
          <w:color w:val="000000"/>
          <w:sz w:val="22"/>
        </w:rPr>
      </w:pPr>
    </w:p>
    <w:p w14:paraId="4E2EB46D"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Rapidly built structural diagnostic FE models for evaluating structural integrity using an automated interpretation of the nondestructive measurement data will fill a necessary technological need. FE modeling of the entire data-driven blade or wing assembly will assist in determining the margins of safety for flight qualification. CT conversion of field-damaged large parts to an FE model that captures undamaged adjacent authorized manufacturing defects will provide stress limit thresholds for safely establishing repairs to the component scanned. CT data conversion of flawed new components will greatly assist in MRB decisions. The FE mesh can provide a model for design modifications. This project </w:t>
      </w:r>
      <w:r w:rsidRPr="00AA7A47">
        <w:rPr>
          <w:rFonts w:eastAsia="Times New Roman" w:cs="Times New Roman"/>
          <w:noProof/>
          <w:color w:val="000000"/>
          <w:sz w:val="22"/>
        </w:rPr>
        <w:lastRenderedPageBreak/>
        <w:t>will merge state-of-the-art nondestructive measurements with composite durability and damage tolerance analyses into an add-on toolkit package for a commercial FE software program.</w:t>
      </w:r>
    </w:p>
    <w:p w14:paraId="70CCAA5D" w14:textId="77777777" w:rsidR="00C9232E" w:rsidRPr="00AA7A47" w:rsidRDefault="00C9232E" w:rsidP="00C9232E">
      <w:pPr>
        <w:rPr>
          <w:rFonts w:eastAsia="Times New Roman" w:cs="Times New Roman"/>
          <w:color w:val="000000"/>
          <w:sz w:val="22"/>
        </w:rPr>
      </w:pPr>
    </w:p>
    <w:p w14:paraId="76B099C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Demonstrate a semi-automated transition of CT-based measurements of a rotor blade section or wing section to a high-fidelity FE mesh that captures the composite material structure including ply-orientations with a refined mesh surrounding the to-scale, three-dimensional manufacturing defects. The Phase I effort will include prototype plans to be developed under Phase II.</w:t>
      </w:r>
    </w:p>
    <w:p w14:paraId="7008925A" w14:textId="77777777" w:rsidR="00C9232E" w:rsidRPr="00AA7A47" w:rsidRDefault="00C9232E" w:rsidP="00C9232E">
      <w:pPr>
        <w:rPr>
          <w:rFonts w:eastAsia="Times New Roman" w:cs="Times New Roman"/>
          <w:color w:val="000000"/>
          <w:sz w:val="22"/>
        </w:rPr>
      </w:pPr>
    </w:p>
    <w:p w14:paraId="13E37AE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Integrate the automated analysis toolkit into a commercial finite element modeling software for use in high performance computing centers. Demonstrate progressive damage and structural fatigue analysis capability on a rotor blade or wing.</w:t>
      </w:r>
    </w:p>
    <w:p w14:paraId="18EF0BFF" w14:textId="77777777" w:rsidR="00C9232E" w:rsidRPr="00AA7A47" w:rsidRDefault="00C9232E" w:rsidP="00C9232E">
      <w:pPr>
        <w:rPr>
          <w:rFonts w:eastAsia="Times New Roman" w:cs="Times New Roman"/>
          <w:color w:val="000000"/>
          <w:sz w:val="22"/>
        </w:rPr>
      </w:pPr>
    </w:p>
    <w:p w14:paraId="25ABF6D4"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Perform full-scale testing on NAVAIR-supplied structures to validate progressive damage predictive capability. Make any corrections identified during full scale testing and finalize toolkit. Transition software toolkit into fleet overhaul facilities, fleet support teams, and OEM commercial markets.</w:t>
      </w:r>
    </w:p>
    <w:p w14:paraId="5128D78A" w14:textId="77777777" w:rsidR="00C9232E" w:rsidRPr="00AA7A47" w:rsidRDefault="00C9232E" w:rsidP="00C9232E">
      <w:pPr>
        <w:rPr>
          <w:rFonts w:eastAsia="Times New Roman" w:cs="Times New Roman"/>
          <w:noProof/>
          <w:color w:val="000000"/>
          <w:sz w:val="22"/>
        </w:rPr>
      </w:pPr>
    </w:p>
    <w:p w14:paraId="26E1AFA3"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This technology will assist aircraft, automotive, and recreational vehicle industries that use advanced composite materials. This toolkit will assess the strength of prototype composite structural designs and will identify static and fatigue test procedure limits for those prototypes. This toolkit will improve speed, accuracy, and consistency in material review board decisions on non-conforming composite parts.</w:t>
      </w:r>
    </w:p>
    <w:p w14:paraId="3B1BC646" w14:textId="77777777" w:rsidR="00C9232E" w:rsidRPr="00AA7A47" w:rsidRDefault="00C9232E" w:rsidP="00C9232E">
      <w:pPr>
        <w:rPr>
          <w:rFonts w:eastAsia="Times New Roman" w:cs="Times New Roman"/>
          <w:color w:val="000000"/>
          <w:sz w:val="22"/>
        </w:rPr>
      </w:pPr>
    </w:p>
    <w:p w14:paraId="33923EE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0C83E4BC" w14:textId="5140834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Avril, S., Bonnet, M., Bretelle, A.-S., Grédiac, M., Hild, F., Lenny, P., &amp; Pierron, F. “Overview of Identification Methods of Mechanical Parameters Based on Full-Field Measurements.” Experimental Mechanics, 2008. </w:t>
      </w:r>
      <w:hyperlink r:id="rId84" w:history="1">
        <w:r w:rsidR="00774075" w:rsidRPr="007743A7">
          <w:rPr>
            <w:rStyle w:val="Hyperlink"/>
            <w:rFonts w:eastAsia="Times New Roman" w:cs="Times New Roman"/>
            <w:noProof/>
            <w:sz w:val="22"/>
          </w:rPr>
          <w:t>https://link.springer.com/article/10.1007/s11340-008-9148-y</w:t>
        </w:r>
      </w:hyperlink>
      <w:r w:rsidR="00774075">
        <w:rPr>
          <w:rFonts w:eastAsia="Times New Roman" w:cs="Times New Roman"/>
          <w:noProof/>
          <w:color w:val="000000"/>
          <w:sz w:val="22"/>
        </w:rPr>
        <w:t xml:space="preserve"> </w:t>
      </w:r>
    </w:p>
    <w:p w14:paraId="08087B94" w14:textId="77777777" w:rsidR="0013197E" w:rsidRDefault="0013197E" w:rsidP="00C9232E">
      <w:pPr>
        <w:rPr>
          <w:rFonts w:eastAsia="Times New Roman" w:cs="Times New Roman"/>
          <w:noProof/>
          <w:color w:val="000000"/>
          <w:sz w:val="22"/>
        </w:rPr>
      </w:pPr>
    </w:p>
    <w:p w14:paraId="3AEAB858" w14:textId="596D535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Rahmani, B., Villemure, I. &amp; Levesque, M. “Regularized Virtual Fields Method for Mechanical Properties Identification of Composite Materials.” Computer Methods in Applied Mechanics and Engineering, 2014, pp. 543-566. </w:t>
      </w:r>
      <w:hyperlink r:id="rId85" w:history="1">
        <w:r w:rsidR="00774075" w:rsidRPr="007743A7">
          <w:rPr>
            <w:rStyle w:val="Hyperlink"/>
            <w:rFonts w:eastAsia="Times New Roman" w:cs="Times New Roman"/>
            <w:noProof/>
            <w:sz w:val="22"/>
          </w:rPr>
          <w:t>https://www.sciencedirect.com/science/article/pii/S0045782514001558</w:t>
        </w:r>
      </w:hyperlink>
      <w:r w:rsidR="00774075">
        <w:rPr>
          <w:rFonts w:eastAsia="Times New Roman" w:cs="Times New Roman"/>
          <w:noProof/>
          <w:color w:val="000000"/>
          <w:sz w:val="22"/>
        </w:rPr>
        <w:t xml:space="preserve"> </w:t>
      </w:r>
    </w:p>
    <w:p w14:paraId="7D9C09CB" w14:textId="77777777" w:rsidR="0013197E" w:rsidRDefault="0013197E" w:rsidP="00C9232E">
      <w:pPr>
        <w:rPr>
          <w:rFonts w:eastAsia="Times New Roman" w:cs="Times New Roman"/>
          <w:noProof/>
          <w:color w:val="000000"/>
          <w:sz w:val="22"/>
        </w:rPr>
      </w:pPr>
    </w:p>
    <w:p w14:paraId="71A2D2D2" w14:textId="7DAA2FE2" w:rsidR="0013197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Straumit, I., Lomov, S. &amp; Wevers, M. “Quantification of the Internal Structure and Automatic Generation of Voxel Models of Textile Composites from X-Ray Computed Tomography Data.” Composites Part A: Applied Science and Manufacturing, 2015, pp. 150-158. </w:t>
      </w:r>
      <w:hyperlink r:id="rId86" w:history="1">
        <w:r w:rsidR="00774075" w:rsidRPr="007743A7">
          <w:rPr>
            <w:rStyle w:val="Hyperlink"/>
            <w:rFonts w:eastAsia="Times New Roman" w:cs="Times New Roman"/>
            <w:noProof/>
            <w:sz w:val="22"/>
          </w:rPr>
          <w:t>https://www.sciencedirect.com/science/article/pii/S1359835X14003625</w:t>
        </w:r>
      </w:hyperlink>
      <w:r w:rsidR="00774075">
        <w:rPr>
          <w:rFonts w:eastAsia="Times New Roman" w:cs="Times New Roman"/>
          <w:noProof/>
          <w:color w:val="000000"/>
          <w:sz w:val="22"/>
        </w:rPr>
        <w:t xml:space="preserve"> </w:t>
      </w:r>
    </w:p>
    <w:p w14:paraId="5A96739F" w14:textId="77777777" w:rsidR="0013197E" w:rsidRDefault="0013197E" w:rsidP="00C9232E">
      <w:pPr>
        <w:rPr>
          <w:rFonts w:eastAsia="Times New Roman" w:cs="Times New Roman"/>
          <w:noProof/>
          <w:color w:val="000000"/>
          <w:sz w:val="22"/>
        </w:rPr>
      </w:pPr>
    </w:p>
    <w:p w14:paraId="59AEDCB6" w14:textId="6A63057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Makeev, A., Seon, G., Nikishkov, Y., Nguyen, D., Matthews, P. &amp; Robeson, M. “Analysis Methods Improving Confidence in Material Qualification for Laminated Composites.” American Helicopter Society 72nd Annual Forum, 2016, Semantic Scholar: West Palm Beach. </w:t>
      </w:r>
      <w:hyperlink r:id="rId87" w:history="1">
        <w:r w:rsidR="00774075" w:rsidRPr="007743A7">
          <w:rPr>
            <w:rStyle w:val="Hyperlink"/>
            <w:rFonts w:eastAsia="Times New Roman" w:cs="Times New Roman"/>
            <w:noProof/>
            <w:sz w:val="22"/>
          </w:rPr>
          <w:t>https://pdfs.semanticscholar.org/ceb7/bb7903524cacf2b958f646637175e62aaf13.pdf</w:t>
        </w:r>
      </w:hyperlink>
      <w:r w:rsidR="00774075">
        <w:rPr>
          <w:rFonts w:eastAsia="Times New Roman" w:cs="Times New Roman"/>
          <w:noProof/>
          <w:color w:val="000000"/>
          <w:sz w:val="22"/>
        </w:rPr>
        <w:t xml:space="preserve"> </w:t>
      </w:r>
    </w:p>
    <w:p w14:paraId="7EE7E6E6" w14:textId="77777777" w:rsidR="0013197E" w:rsidRDefault="0013197E" w:rsidP="00C9232E">
      <w:pPr>
        <w:rPr>
          <w:rFonts w:eastAsia="Times New Roman" w:cs="Times New Roman"/>
          <w:noProof/>
          <w:color w:val="000000"/>
          <w:sz w:val="22"/>
        </w:rPr>
      </w:pPr>
    </w:p>
    <w:p w14:paraId="7B1EA7C5" w14:textId="2F1C8543" w:rsidR="0013197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Nikishkov, Y., Seon, G., Makeev, A. &amp; Shonkwiler, B. “In-situ Measurements of Fracture Toughness Properties in Composite Laminates.” Materials &amp; Design, 2016, pp. 303-313. </w:t>
      </w:r>
      <w:hyperlink r:id="rId88" w:history="1">
        <w:r w:rsidR="00774075" w:rsidRPr="007743A7">
          <w:rPr>
            <w:rStyle w:val="Hyperlink"/>
            <w:rFonts w:eastAsia="Times New Roman" w:cs="Times New Roman"/>
            <w:noProof/>
            <w:sz w:val="22"/>
          </w:rPr>
          <w:t>https://www.sciencedirect.com/science/article/abs/pii/S0264127516300132</w:t>
        </w:r>
      </w:hyperlink>
      <w:r w:rsidR="00774075">
        <w:rPr>
          <w:rFonts w:eastAsia="Times New Roman" w:cs="Times New Roman"/>
          <w:noProof/>
          <w:color w:val="000000"/>
          <w:sz w:val="22"/>
        </w:rPr>
        <w:t xml:space="preserve"> </w:t>
      </w:r>
    </w:p>
    <w:p w14:paraId="6FED0F59" w14:textId="77777777" w:rsidR="0013197E" w:rsidRDefault="0013197E" w:rsidP="00C9232E">
      <w:pPr>
        <w:rPr>
          <w:rFonts w:eastAsia="Times New Roman" w:cs="Times New Roman"/>
          <w:noProof/>
          <w:color w:val="000000"/>
          <w:sz w:val="22"/>
        </w:rPr>
      </w:pPr>
    </w:p>
    <w:p w14:paraId="24561CAB" w14:textId="45BDC1A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Lambert, J., Chambers, A., Sinclair, I. &amp; Spearing, S. “3D Damage Characterisation and the Role of Voids in the Fatigue of Wind Turbine Blade Materials.” Composites Science and Technology, 2012, pp. 337-343. </w:t>
      </w:r>
      <w:hyperlink r:id="rId89" w:history="1">
        <w:r w:rsidR="00774075" w:rsidRPr="007743A7">
          <w:rPr>
            <w:rStyle w:val="Hyperlink"/>
            <w:rFonts w:eastAsia="Times New Roman" w:cs="Times New Roman"/>
            <w:noProof/>
            <w:sz w:val="22"/>
          </w:rPr>
          <w:t>https://www.sciencedirect.com/science/article/abs/pii/S0266353811004155</w:t>
        </w:r>
      </w:hyperlink>
      <w:r w:rsidR="00774075">
        <w:rPr>
          <w:rFonts w:eastAsia="Times New Roman" w:cs="Times New Roman"/>
          <w:noProof/>
          <w:color w:val="000000"/>
          <w:sz w:val="22"/>
        </w:rPr>
        <w:t xml:space="preserve"> </w:t>
      </w:r>
    </w:p>
    <w:p w14:paraId="305BF1F3" w14:textId="77777777" w:rsidR="0013197E" w:rsidRDefault="0013197E" w:rsidP="00C9232E">
      <w:pPr>
        <w:rPr>
          <w:rFonts w:eastAsia="Times New Roman" w:cs="Times New Roman"/>
          <w:noProof/>
          <w:color w:val="000000"/>
          <w:sz w:val="22"/>
        </w:rPr>
      </w:pPr>
    </w:p>
    <w:p w14:paraId="16968AD7" w14:textId="636856C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7. Dobyns, A., Rousseau, C. &amp; Minguet, P. “Helicopter Applications and Design.” Comprehensive Composite Materials, 2000, pp. 223-242. </w:t>
      </w:r>
      <w:hyperlink r:id="rId90" w:history="1">
        <w:r w:rsidR="00774075" w:rsidRPr="007743A7">
          <w:rPr>
            <w:rStyle w:val="Hyperlink"/>
            <w:rFonts w:eastAsia="Times New Roman" w:cs="Times New Roman"/>
            <w:noProof/>
            <w:sz w:val="22"/>
          </w:rPr>
          <w:t>https://www.sciencedirect.com/science/article/pii/B0080429939001984</w:t>
        </w:r>
      </w:hyperlink>
      <w:r w:rsidR="00774075">
        <w:rPr>
          <w:rFonts w:eastAsia="Times New Roman" w:cs="Times New Roman"/>
          <w:noProof/>
          <w:color w:val="000000"/>
          <w:sz w:val="22"/>
        </w:rPr>
        <w:t xml:space="preserve"> </w:t>
      </w:r>
    </w:p>
    <w:p w14:paraId="28590EDB" w14:textId="77777777" w:rsidR="00C9232E" w:rsidRPr="00AA7A47" w:rsidRDefault="00C9232E" w:rsidP="00C9232E">
      <w:pPr>
        <w:rPr>
          <w:rFonts w:eastAsia="Times New Roman" w:cs="Times New Roman"/>
          <w:color w:val="000000"/>
          <w:sz w:val="22"/>
        </w:rPr>
      </w:pPr>
    </w:p>
    <w:p w14:paraId="7B9BBC9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Composite Wings, Rotors, CT Scan, Finite Element, Damage Progression, Manufacturing Defects, Composite Repairs, Computed Tomography</w:t>
      </w:r>
    </w:p>
    <w:p w14:paraId="209F4001" w14:textId="77777777" w:rsidR="00C9232E" w:rsidRPr="00AA7A47" w:rsidRDefault="00C9232E" w:rsidP="00C9232E">
      <w:pPr>
        <w:rPr>
          <w:rFonts w:eastAsia="Times New Roman" w:cs="Times New Roman"/>
          <w:color w:val="000000"/>
          <w:sz w:val="22"/>
        </w:rPr>
      </w:pPr>
    </w:p>
    <w:p w14:paraId="6446CF95" w14:textId="77777777" w:rsidR="00C9232E" w:rsidRPr="00AA7A47" w:rsidRDefault="00C9232E" w:rsidP="00C9232E">
      <w:pPr>
        <w:tabs>
          <w:tab w:val="left" w:pos="1260"/>
        </w:tabs>
        <w:ind w:left="270"/>
        <w:rPr>
          <w:rFonts w:eastAsia="Times New Roman" w:cs="Times New Roman"/>
          <w:color w:val="000000"/>
          <w:sz w:val="22"/>
        </w:rPr>
      </w:pPr>
    </w:p>
    <w:p w14:paraId="0B9662B2" w14:textId="77777777" w:rsidR="00C9232E" w:rsidRPr="00AA7A47" w:rsidRDefault="00C9232E" w:rsidP="00C9232E">
      <w:pPr>
        <w:tabs>
          <w:tab w:val="left" w:pos="1260"/>
        </w:tabs>
        <w:ind w:left="270"/>
        <w:rPr>
          <w:rFonts w:eastAsia="Times New Roman" w:cs="Times New Roman"/>
          <w:color w:val="000000"/>
          <w:sz w:val="22"/>
        </w:rPr>
      </w:pPr>
    </w:p>
    <w:p w14:paraId="2354F8CB" w14:textId="77777777" w:rsidR="00C9232E" w:rsidRPr="00AA7A47" w:rsidRDefault="00C9232E" w:rsidP="00C9232E">
      <w:pPr>
        <w:tabs>
          <w:tab w:val="left" w:pos="1260"/>
        </w:tabs>
        <w:ind w:left="270"/>
        <w:rPr>
          <w:rFonts w:eastAsia="Times New Roman" w:cs="Times New Roman"/>
          <w:color w:val="000000"/>
          <w:sz w:val="22"/>
        </w:rPr>
      </w:pPr>
    </w:p>
    <w:p w14:paraId="0DD94B15" w14:textId="77777777" w:rsidR="00C9232E" w:rsidRPr="00AA7A47" w:rsidRDefault="00C9232E" w:rsidP="00C9232E">
      <w:pPr>
        <w:rPr>
          <w:rFonts w:eastAsia="Times New Roman" w:cs="Times New Roman"/>
          <w:color w:val="000000"/>
          <w:sz w:val="22"/>
        </w:rPr>
      </w:pPr>
    </w:p>
    <w:p w14:paraId="6422151B" w14:textId="77777777" w:rsidR="00C9232E" w:rsidRPr="00AA7A47" w:rsidRDefault="00C9232E" w:rsidP="00C9232E">
      <w:pPr>
        <w:rPr>
          <w:rFonts w:eastAsia="Times New Roman" w:cs="Times New Roman"/>
          <w:color w:val="000000"/>
          <w:sz w:val="22"/>
        </w:rPr>
      </w:pPr>
    </w:p>
    <w:p w14:paraId="0A909AA8"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6889DD72"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N202-104</w:t>
      </w:r>
      <w:r w:rsidRPr="00AA7A47">
        <w:rPr>
          <w:rFonts w:eastAsia="Times New Roman" w:cs="Times New Roman"/>
          <w:color w:val="000000"/>
          <w:sz w:val="22"/>
        </w:rPr>
        <w:tab/>
        <w:t xml:space="preserve">TITLE: </w:t>
      </w:r>
      <w:r w:rsidRPr="00AA7A47">
        <w:rPr>
          <w:rFonts w:eastAsia="Times New Roman" w:cs="Times New Roman"/>
          <w:noProof/>
          <w:color w:val="000000"/>
          <w:sz w:val="22"/>
        </w:rPr>
        <w:t>Time and Phase Synchronization of Radio Frequency (RF) Sources across Multiple Unmanned Aerial System/Vehicle (UAS/UAV) Platforms</w:t>
      </w:r>
    </w:p>
    <w:p w14:paraId="0C014405" w14:textId="77777777" w:rsidR="00C9232E" w:rsidRPr="00AA7A47" w:rsidRDefault="00C9232E" w:rsidP="00C9232E">
      <w:pPr>
        <w:rPr>
          <w:rFonts w:eastAsia="Times New Roman" w:cs="Times New Roman"/>
          <w:color w:val="000000"/>
          <w:sz w:val="22"/>
        </w:rPr>
      </w:pPr>
    </w:p>
    <w:p w14:paraId="279B32F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07FFA5B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Battlespace</w:t>
      </w:r>
    </w:p>
    <w:p w14:paraId="75864CB3" w14:textId="77777777" w:rsidR="00C9232E" w:rsidRPr="00AA7A47" w:rsidRDefault="00C9232E" w:rsidP="00C9232E">
      <w:pPr>
        <w:rPr>
          <w:rFonts w:eastAsia="Times New Roman" w:cs="Times New Roman"/>
          <w:noProof/>
          <w:color w:val="000000"/>
          <w:sz w:val="22"/>
        </w:rPr>
      </w:pPr>
    </w:p>
    <w:p w14:paraId="3C3977B2"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3B1CD7F" w14:textId="77777777" w:rsidR="00C9232E" w:rsidRPr="00AA7A47" w:rsidRDefault="00C9232E" w:rsidP="00C9232E">
      <w:pPr>
        <w:rPr>
          <w:rFonts w:eastAsia="Times New Roman" w:cs="Times New Roman"/>
          <w:noProof/>
          <w:color w:val="000000"/>
          <w:sz w:val="22"/>
        </w:rPr>
      </w:pPr>
    </w:p>
    <w:p w14:paraId="57252ED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and demonstrate a capability to perform high-precision time and phase synchronization (phase coherency) of multiple distributed radio frequency (RF) sources located on Unmanned Aerial Systems (UASs) platforms such as Group 3 drones separated in a dynamic and Global Positioning System (GPS) denied environment.</w:t>
      </w:r>
    </w:p>
    <w:p w14:paraId="4882E6AA" w14:textId="77777777" w:rsidR="00C9232E" w:rsidRPr="00AA7A47" w:rsidRDefault="00C9232E" w:rsidP="00C9232E">
      <w:pPr>
        <w:rPr>
          <w:rFonts w:eastAsia="Times New Roman" w:cs="Times New Roman"/>
          <w:color w:val="000000"/>
          <w:sz w:val="22"/>
        </w:rPr>
      </w:pPr>
    </w:p>
    <w:p w14:paraId="60D7EB90"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Small UASs have found many applications within both the defense and commercial sectors. With the increasing use of small UASs, it is desired to equip them with RF sensors/payloads to permit them to work together to form a coherent beam on a target. In order to do this, precise time synchronization among the UASs is essential. Current techniques rely on either the use of GPS or an embedded signal from the target in order to time synchronize multiple UASs. In order to be more operationally suitable, development of a solution to the time synchronization problem for multiple spatially dispersed UASs, which works in the absence of both GPS and cooperative targets is needed. Additionally, the developed solution must be able to operate in a relevant environment that can have wide ranges in temperature, vibration [Ref 7], and meet the space, weight (&lt;100 lbs), power, and cooling (SWaP-C) requirements of a small UAS such as Group 3 [Ref 6] and typical payloads such as a datalink, an electronic warfare (EW) system, etc. </w:t>
      </w:r>
    </w:p>
    <w:p w14:paraId="5674CB0D" w14:textId="77777777" w:rsidR="00C9232E" w:rsidRPr="00AA7A47" w:rsidRDefault="00C9232E" w:rsidP="00C9232E">
      <w:pPr>
        <w:rPr>
          <w:rFonts w:eastAsia="Times New Roman" w:cs="Times New Roman"/>
          <w:noProof/>
          <w:color w:val="000000"/>
          <w:sz w:val="22"/>
        </w:rPr>
      </w:pPr>
    </w:p>
    <w:p w14:paraId="599EA67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goal is to obtain accuracy in timing (10 to 100 picoseconds) and phase coherency to within 1/10 to 1/12 of a relevant RF operating wavelength (UHF or higher band) between nodes (or between slave nodes and the master node).  </w:t>
      </w:r>
    </w:p>
    <w:p w14:paraId="3664D68F" w14:textId="77777777" w:rsidR="00C9232E" w:rsidRPr="00AA7A47" w:rsidRDefault="00C9232E" w:rsidP="00C9232E">
      <w:pPr>
        <w:rPr>
          <w:rFonts w:eastAsia="Times New Roman" w:cs="Times New Roman"/>
          <w:noProof/>
          <w:color w:val="000000"/>
          <w:sz w:val="22"/>
        </w:rPr>
      </w:pPr>
    </w:p>
    <w:p w14:paraId="5587EFAF"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details on the methods and mechanism of obtaining coherency across all nodes in the network are requested, additionally, any special waveforms or control signals that are employed and any special oscillators required are also requested. The ability to easily integrate into existing datalinks and radio designs (specify one or more applications for a UHF, C Band, S Band, other data link using single carrier modulation, spread spectrum, or Orthogonal Frequency Division Multiplex (OFDM) or a Common Data Link (CDL) is requested. Provide details of how to integrate this into existing designs or new designs.</w:t>
      </w:r>
    </w:p>
    <w:p w14:paraId="5B02EE34" w14:textId="77777777" w:rsidR="00C9232E" w:rsidRPr="00AA7A47" w:rsidRDefault="00C9232E" w:rsidP="00C9232E">
      <w:pPr>
        <w:rPr>
          <w:rFonts w:eastAsia="Times New Roman" w:cs="Times New Roman"/>
          <w:noProof/>
          <w:color w:val="000000"/>
          <w:sz w:val="22"/>
        </w:rPr>
      </w:pPr>
    </w:p>
    <w:p w14:paraId="1A7934B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w:t>
      </w:r>
      <w:r w:rsidRPr="00AA7A47">
        <w:rPr>
          <w:rFonts w:eastAsia="Times New Roman" w:cs="Times New Roman"/>
          <w:noProof/>
          <w:color w:val="000000"/>
          <w:sz w:val="22"/>
        </w:rPr>
        <w:lastRenderedPageBreak/>
        <w:t>required to safeguard classified material IAW DoD 5220.22-M during the advanced phases of this contract.</w:t>
      </w:r>
    </w:p>
    <w:p w14:paraId="36E8BCBB" w14:textId="77777777" w:rsidR="00C9232E" w:rsidRPr="00AA7A47" w:rsidRDefault="00C9232E" w:rsidP="00C9232E">
      <w:pPr>
        <w:rPr>
          <w:rFonts w:eastAsia="Times New Roman" w:cs="Times New Roman"/>
          <w:color w:val="000000"/>
          <w:sz w:val="22"/>
        </w:rPr>
      </w:pPr>
    </w:p>
    <w:p w14:paraId="199D20C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the concept and approach for time synchronization of RF sources across a distributed system. Demonstrate the feasibility of the designed approach through modeling and simulation for a swarm consisting of 10 UAS randomly distributed spatially throughout a one-mile area, and quantify the beam pointing error as a function of frequency. Include the processing blocks that provide the critical functions and include a baseline set of quantitative implementation requirements that will form the basis for further development in Phase II. Phase I will consider UAS’s from Group’s 1 or 2. The Phase I effort will include prototype plans to be developed under Phase II.</w:t>
      </w:r>
    </w:p>
    <w:p w14:paraId="3BFE8F9D" w14:textId="77777777" w:rsidR="00C9232E" w:rsidRPr="00AA7A47" w:rsidRDefault="00C9232E" w:rsidP="00C9232E">
      <w:pPr>
        <w:rPr>
          <w:rFonts w:eastAsia="Times New Roman" w:cs="Times New Roman"/>
          <w:color w:val="000000"/>
          <w:sz w:val="22"/>
        </w:rPr>
      </w:pPr>
    </w:p>
    <w:p w14:paraId="2FD84B69"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Refine the approach developed in Phase I. Develop prototype hardware and demonstrate the approach on 3 to 6 platforms. Include a static demonstration and then if deemed successful, end with a dynamic demonstration (i.e., quadcopters). Phase II will consider flight demonstrations from UAS Group 3 drones such as the Tigershark XP. Prepare a Phase III development plan to transition the technology for Navy and potential commercial use.</w:t>
      </w:r>
    </w:p>
    <w:p w14:paraId="17D1B8AA" w14:textId="77777777" w:rsidR="00C9232E" w:rsidRPr="00AA7A47" w:rsidRDefault="00C9232E" w:rsidP="00C9232E">
      <w:pPr>
        <w:rPr>
          <w:rFonts w:eastAsia="Times New Roman" w:cs="Times New Roman"/>
          <w:noProof/>
          <w:color w:val="000000"/>
          <w:sz w:val="22"/>
        </w:rPr>
      </w:pPr>
    </w:p>
    <w:p w14:paraId="63A60A1A"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73DE780F" w14:textId="77777777" w:rsidR="00C9232E" w:rsidRPr="00AA7A47" w:rsidRDefault="00C9232E" w:rsidP="00C9232E">
      <w:pPr>
        <w:rPr>
          <w:rFonts w:eastAsia="Times New Roman" w:cs="Times New Roman"/>
          <w:color w:val="000000"/>
          <w:sz w:val="22"/>
        </w:rPr>
      </w:pPr>
    </w:p>
    <w:p w14:paraId="38B0D7E1"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Refine the technology developed for easier integration into tactical data links. Install on several types of Navy UASs and deploy on larger UAS swarms.</w:t>
      </w:r>
    </w:p>
    <w:p w14:paraId="73569319"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Successful technology development could benefit the Telecom and Mapping industries.</w:t>
      </w:r>
    </w:p>
    <w:p w14:paraId="5B562768" w14:textId="77777777" w:rsidR="00C9232E" w:rsidRPr="00AA7A47" w:rsidRDefault="00C9232E" w:rsidP="00C9232E">
      <w:pPr>
        <w:rPr>
          <w:rFonts w:eastAsia="Times New Roman" w:cs="Times New Roman"/>
          <w:color w:val="000000"/>
          <w:sz w:val="22"/>
        </w:rPr>
      </w:pPr>
    </w:p>
    <w:p w14:paraId="1332AE6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1A59754B" w14:textId="50746B8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1. Mudumbai, R., Brown, D.R., Madhow, U. &amp; Poor, H.V. “Distributed transmit beamforming: challenges and recent progress.” IEEE Communications Magazine, 47, 2009, pp.102-110.  DOI:10.1109/MCOM.2009.4785387</w:t>
      </w:r>
      <w:r w:rsidR="005A1EF7">
        <w:rPr>
          <w:rFonts w:eastAsia="Times New Roman" w:cs="Times New Roman"/>
          <w:noProof/>
          <w:color w:val="000000"/>
          <w:sz w:val="22"/>
        </w:rPr>
        <w:t xml:space="preserve"> </w:t>
      </w:r>
    </w:p>
    <w:p w14:paraId="74405CAA" w14:textId="77777777" w:rsidR="0013197E" w:rsidRDefault="0013197E" w:rsidP="00C9232E">
      <w:pPr>
        <w:rPr>
          <w:rFonts w:eastAsia="Times New Roman" w:cs="Times New Roman"/>
          <w:noProof/>
          <w:color w:val="000000"/>
          <w:sz w:val="22"/>
        </w:rPr>
      </w:pPr>
    </w:p>
    <w:p w14:paraId="74F589D9" w14:textId="3643572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Comberiate, T. M., Zilevu, K. S., Hodkin, J. E. &amp; Nanzer, J. A. “Distributed transmit beamforming on mobile platforms using high-accuracy microwave wireless positioning.” SPIE Defense + Security, 2016, Baltimore, Maryland, United States. </w:t>
      </w:r>
      <w:hyperlink r:id="rId91" w:history="1">
        <w:r w:rsidR="005A1EF7" w:rsidRPr="007743A7">
          <w:rPr>
            <w:rStyle w:val="Hyperlink"/>
            <w:rFonts w:eastAsia="Times New Roman" w:cs="Times New Roman"/>
            <w:noProof/>
            <w:sz w:val="22"/>
          </w:rPr>
          <w:t>https://www.spiedigitallibrary.org/conference-proceedings-of-spie/9829/98291S/Distributed-transmit-beamforming-on-mobile-platforms-using-high-accuracy-microwave/10.1117/12.2231793.short?SSO=1</w:t>
        </w:r>
      </w:hyperlink>
      <w:r w:rsidR="005A1EF7">
        <w:rPr>
          <w:rFonts w:eastAsia="Times New Roman" w:cs="Times New Roman"/>
          <w:noProof/>
          <w:color w:val="000000"/>
          <w:sz w:val="22"/>
        </w:rPr>
        <w:t xml:space="preserve"> </w:t>
      </w:r>
    </w:p>
    <w:p w14:paraId="1831F29C" w14:textId="77777777" w:rsidR="0013197E" w:rsidRDefault="0013197E" w:rsidP="00C9232E">
      <w:pPr>
        <w:rPr>
          <w:rFonts w:eastAsia="Times New Roman" w:cs="Times New Roman"/>
          <w:noProof/>
          <w:color w:val="000000"/>
          <w:sz w:val="22"/>
        </w:rPr>
      </w:pPr>
    </w:p>
    <w:p w14:paraId="3EF86A20" w14:textId="34024DF4" w:rsidR="0013197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Berbakov, L. &amp; Beko, M. “Simultaneous distributed carrier synchronization and data transmission in wireless sensor networks.” 22nd Telecommunications Forum (TELFOR), 2014. </w:t>
      </w:r>
      <w:hyperlink r:id="rId92" w:history="1">
        <w:r w:rsidR="005A1EF7" w:rsidRPr="007743A7">
          <w:rPr>
            <w:rStyle w:val="Hyperlink"/>
            <w:rFonts w:eastAsia="Times New Roman" w:cs="Times New Roman"/>
            <w:noProof/>
            <w:sz w:val="22"/>
          </w:rPr>
          <w:t>https://ieeexplore.ieee.org/document/7034405</w:t>
        </w:r>
      </w:hyperlink>
      <w:r w:rsidR="005A1EF7">
        <w:rPr>
          <w:rFonts w:eastAsia="Times New Roman" w:cs="Times New Roman"/>
          <w:noProof/>
          <w:color w:val="000000"/>
          <w:sz w:val="22"/>
        </w:rPr>
        <w:t xml:space="preserve"> </w:t>
      </w:r>
    </w:p>
    <w:p w14:paraId="7782F4C1" w14:textId="77777777" w:rsidR="0013197E" w:rsidRDefault="0013197E" w:rsidP="00C9232E">
      <w:pPr>
        <w:rPr>
          <w:rFonts w:eastAsia="Times New Roman" w:cs="Times New Roman"/>
          <w:noProof/>
          <w:color w:val="000000"/>
          <w:sz w:val="22"/>
        </w:rPr>
      </w:pPr>
    </w:p>
    <w:p w14:paraId="0AB62E3D" w14:textId="0484465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Yan, H., Hanna, S.S., Balke, K.N., Gupta, R. &amp; Cabric, D. “Software Defined Radio Implementation of Carrier and Timing Synchronization for Distributed Arrays.” 2019 IEEE Aerospace Conference, pp. 1-12. </w:t>
      </w:r>
      <w:hyperlink r:id="rId93" w:history="1">
        <w:r w:rsidR="005A1EF7" w:rsidRPr="007743A7">
          <w:rPr>
            <w:rStyle w:val="Hyperlink"/>
            <w:rFonts w:eastAsia="Times New Roman" w:cs="Times New Roman"/>
            <w:noProof/>
            <w:sz w:val="22"/>
          </w:rPr>
          <w:t>https://ieeexplore.ieee.org/abstract/document/8742232</w:t>
        </w:r>
      </w:hyperlink>
      <w:r w:rsidR="005A1EF7">
        <w:rPr>
          <w:rFonts w:eastAsia="Times New Roman" w:cs="Times New Roman"/>
          <w:noProof/>
          <w:color w:val="000000"/>
          <w:sz w:val="22"/>
        </w:rPr>
        <w:t xml:space="preserve"> </w:t>
      </w:r>
    </w:p>
    <w:p w14:paraId="71C3C5FD" w14:textId="77777777" w:rsidR="0013197E" w:rsidRDefault="0013197E" w:rsidP="00C9232E">
      <w:pPr>
        <w:rPr>
          <w:rFonts w:eastAsia="Times New Roman" w:cs="Times New Roman"/>
          <w:noProof/>
          <w:color w:val="000000"/>
          <w:sz w:val="22"/>
        </w:rPr>
      </w:pPr>
    </w:p>
    <w:p w14:paraId="61E0145E" w14:textId="6709F3FC" w:rsidR="0013197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Moreira, P., Serrano, J., Wlostowski, T., Loschmidt, P. &amp; Gaderer, G. “White rabbit: Sub-nanosecond timing distribution over Ethernet.” 2009 International Symposium on Precision Clock Synchronization for Measurement, Control and Communication, pp. 1-5. </w:t>
      </w:r>
      <w:hyperlink r:id="rId94" w:history="1">
        <w:r w:rsidR="005A1EF7" w:rsidRPr="007743A7">
          <w:rPr>
            <w:rStyle w:val="Hyperlink"/>
            <w:rFonts w:eastAsia="Times New Roman" w:cs="Times New Roman"/>
            <w:noProof/>
            <w:sz w:val="22"/>
          </w:rPr>
          <w:t>https://ieeexplore.ieee.org/document/5340196</w:t>
        </w:r>
      </w:hyperlink>
      <w:r w:rsidR="005A1EF7">
        <w:rPr>
          <w:rFonts w:eastAsia="Times New Roman" w:cs="Times New Roman"/>
          <w:noProof/>
          <w:color w:val="000000"/>
          <w:sz w:val="22"/>
        </w:rPr>
        <w:t xml:space="preserve"> </w:t>
      </w:r>
    </w:p>
    <w:p w14:paraId="02AE494E" w14:textId="77777777" w:rsidR="0013197E" w:rsidRDefault="0013197E" w:rsidP="00C9232E">
      <w:pPr>
        <w:rPr>
          <w:rFonts w:eastAsia="Times New Roman" w:cs="Times New Roman"/>
          <w:noProof/>
          <w:color w:val="000000"/>
          <w:sz w:val="22"/>
        </w:rPr>
      </w:pPr>
    </w:p>
    <w:p w14:paraId="0A189CED" w14:textId="2A41BE8C"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“Classification of the Unmanned Aerial Systems.” Penn State Department of Geography, College of Earth and Mineral Sciences. </w:t>
      </w:r>
      <w:hyperlink r:id="rId95" w:history="1">
        <w:r w:rsidR="005A1EF7" w:rsidRPr="007743A7">
          <w:rPr>
            <w:rStyle w:val="Hyperlink"/>
            <w:rFonts w:eastAsia="Times New Roman" w:cs="Times New Roman"/>
            <w:noProof/>
            <w:sz w:val="22"/>
          </w:rPr>
          <w:t>https://www.e-education.psu.edu/geog892/node/5</w:t>
        </w:r>
      </w:hyperlink>
      <w:r w:rsidR="005A1EF7">
        <w:rPr>
          <w:rFonts w:eastAsia="Times New Roman" w:cs="Times New Roman"/>
          <w:noProof/>
          <w:color w:val="000000"/>
          <w:sz w:val="22"/>
        </w:rPr>
        <w:t xml:space="preserve"> </w:t>
      </w:r>
    </w:p>
    <w:p w14:paraId="5C6BC6C3" w14:textId="77777777" w:rsidR="0013197E" w:rsidRDefault="0013197E" w:rsidP="00C9232E">
      <w:pPr>
        <w:rPr>
          <w:rFonts w:eastAsia="Times New Roman" w:cs="Times New Roman"/>
          <w:noProof/>
          <w:color w:val="000000"/>
          <w:sz w:val="22"/>
        </w:rPr>
      </w:pPr>
    </w:p>
    <w:p w14:paraId="6D48DD80" w14:textId="02AC53B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 xml:space="preserve">7. “MIL-STD-810H, DEPARTMENT OF DEFENSE TEST METHOD STANDARD: ENVIRONMENTAL ENGINEERING CONSIDERATIONS AND LABORATORY TESTS (31-JAN-2019).” </w:t>
      </w:r>
      <w:hyperlink r:id="rId96" w:history="1">
        <w:r w:rsidR="005A1EF7" w:rsidRPr="007743A7">
          <w:rPr>
            <w:rStyle w:val="Hyperlink"/>
            <w:rFonts w:eastAsia="Times New Roman" w:cs="Times New Roman"/>
            <w:noProof/>
            <w:sz w:val="22"/>
          </w:rPr>
          <w:t>http://everyspec.com/MIL-STD/MIL-STD-0800-0899/MIL-STD-810H_55998/</w:t>
        </w:r>
      </w:hyperlink>
      <w:r w:rsidR="005A1EF7">
        <w:rPr>
          <w:rFonts w:eastAsia="Times New Roman" w:cs="Times New Roman"/>
          <w:noProof/>
          <w:color w:val="000000"/>
          <w:sz w:val="22"/>
        </w:rPr>
        <w:t xml:space="preserve"> </w:t>
      </w:r>
    </w:p>
    <w:p w14:paraId="1F667A8D" w14:textId="77777777" w:rsidR="00C9232E" w:rsidRPr="00AA7A47" w:rsidRDefault="00C9232E" w:rsidP="00C9232E">
      <w:pPr>
        <w:rPr>
          <w:rFonts w:eastAsia="Times New Roman" w:cs="Times New Roman"/>
          <w:color w:val="000000"/>
          <w:sz w:val="22"/>
        </w:rPr>
      </w:pPr>
    </w:p>
    <w:p w14:paraId="3978413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Swarm, Timing, Phase, Coherent, UAV, Unmanned Aerial Vehicles, Beamforming, Unmanned Aerial System, UAS</w:t>
      </w:r>
    </w:p>
    <w:p w14:paraId="556B04EB" w14:textId="77777777" w:rsidR="00C9232E" w:rsidRPr="00AA7A47" w:rsidRDefault="00C9232E" w:rsidP="00C9232E">
      <w:pPr>
        <w:rPr>
          <w:rFonts w:eastAsia="Times New Roman" w:cs="Times New Roman"/>
          <w:color w:val="000000"/>
          <w:sz w:val="22"/>
        </w:rPr>
      </w:pPr>
    </w:p>
    <w:p w14:paraId="74E9B5DD" w14:textId="77777777" w:rsidR="00C9232E" w:rsidRPr="00AA7A47" w:rsidRDefault="00C9232E" w:rsidP="00C9232E">
      <w:pPr>
        <w:tabs>
          <w:tab w:val="left" w:pos="1260"/>
        </w:tabs>
        <w:ind w:left="270"/>
        <w:rPr>
          <w:rFonts w:eastAsia="Times New Roman" w:cs="Times New Roman"/>
          <w:color w:val="000000"/>
          <w:sz w:val="22"/>
        </w:rPr>
      </w:pPr>
    </w:p>
    <w:p w14:paraId="44F2E76E" w14:textId="77777777" w:rsidR="00C9232E" w:rsidRPr="00AA7A47" w:rsidRDefault="00C9232E" w:rsidP="00C9232E">
      <w:pPr>
        <w:tabs>
          <w:tab w:val="left" w:pos="1260"/>
        </w:tabs>
        <w:ind w:left="270"/>
        <w:rPr>
          <w:rFonts w:eastAsia="Times New Roman" w:cs="Times New Roman"/>
          <w:color w:val="000000"/>
          <w:sz w:val="22"/>
        </w:rPr>
      </w:pPr>
    </w:p>
    <w:p w14:paraId="35A54273" w14:textId="77777777" w:rsidR="00C9232E" w:rsidRPr="00AA7A47" w:rsidRDefault="00C9232E" w:rsidP="00C9232E">
      <w:pPr>
        <w:tabs>
          <w:tab w:val="left" w:pos="1260"/>
        </w:tabs>
        <w:ind w:left="270"/>
        <w:rPr>
          <w:rFonts w:eastAsia="Times New Roman" w:cs="Times New Roman"/>
          <w:color w:val="000000"/>
          <w:sz w:val="22"/>
        </w:rPr>
      </w:pPr>
    </w:p>
    <w:p w14:paraId="1FF3074D" w14:textId="77777777" w:rsidR="00C9232E" w:rsidRPr="00AA7A47" w:rsidRDefault="00C9232E" w:rsidP="00C9232E">
      <w:pPr>
        <w:rPr>
          <w:rFonts w:eastAsia="Times New Roman" w:cs="Times New Roman"/>
          <w:color w:val="000000"/>
          <w:sz w:val="22"/>
        </w:rPr>
      </w:pPr>
    </w:p>
    <w:p w14:paraId="496BE06D" w14:textId="77777777" w:rsidR="00C9232E" w:rsidRPr="00AA7A47" w:rsidRDefault="00C9232E" w:rsidP="00C9232E">
      <w:pPr>
        <w:rPr>
          <w:rFonts w:eastAsia="Times New Roman" w:cs="Times New Roman"/>
          <w:color w:val="000000"/>
          <w:sz w:val="22"/>
        </w:rPr>
      </w:pPr>
    </w:p>
    <w:p w14:paraId="4A8D8C11"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3343332E"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N202-105</w:t>
      </w:r>
      <w:r w:rsidRPr="00AA7A47">
        <w:rPr>
          <w:rFonts w:eastAsia="Times New Roman" w:cs="Times New Roman"/>
          <w:color w:val="000000"/>
          <w:sz w:val="22"/>
        </w:rPr>
        <w:tab/>
        <w:t xml:space="preserve">TITLE: </w:t>
      </w:r>
      <w:r w:rsidRPr="00AA7A47">
        <w:rPr>
          <w:rFonts w:eastAsia="Times New Roman" w:cs="Times New Roman"/>
          <w:noProof/>
          <w:color w:val="000000"/>
          <w:sz w:val="22"/>
        </w:rPr>
        <w:t>Digital Twin Technologies to Improve Mission Readiness and Sustainment</w:t>
      </w:r>
    </w:p>
    <w:p w14:paraId="340F3EBC" w14:textId="77777777" w:rsidR="00C9232E" w:rsidRPr="00AA7A47" w:rsidRDefault="00C9232E" w:rsidP="00C9232E">
      <w:pPr>
        <w:rPr>
          <w:rFonts w:eastAsia="Times New Roman" w:cs="Times New Roman"/>
          <w:color w:val="000000"/>
          <w:sz w:val="22"/>
        </w:rPr>
      </w:pPr>
    </w:p>
    <w:p w14:paraId="47E66FA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Artificial Intelligence/ Machine Learning, General Warfighting Requirements (GWR)</w:t>
      </w:r>
    </w:p>
    <w:p w14:paraId="6E569D8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w:t>
      </w:r>
    </w:p>
    <w:p w14:paraId="0BE63CE8" w14:textId="77777777" w:rsidR="00C9232E" w:rsidRPr="00AA7A47" w:rsidRDefault="00C9232E" w:rsidP="00C9232E">
      <w:pPr>
        <w:rPr>
          <w:rFonts w:eastAsia="Times New Roman" w:cs="Times New Roman"/>
          <w:color w:val="000000"/>
          <w:sz w:val="22"/>
        </w:rPr>
      </w:pPr>
    </w:p>
    <w:p w14:paraId="1ABB434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Demonstrate the application of digital twin technologies by developing a virtual model of any naval aircraft product, derive benefits (such as predictive capabilities), and show its impact on total life cycle cost of the product. The models representing any naval aircraft product must allow real-time monitoring of performance and facilitate in-flight service of the product.</w:t>
      </w:r>
    </w:p>
    <w:p w14:paraId="1D11FBED" w14:textId="77777777" w:rsidR="00C9232E" w:rsidRPr="00AA7A47" w:rsidRDefault="00C9232E" w:rsidP="00C9232E">
      <w:pPr>
        <w:rPr>
          <w:rFonts w:eastAsia="Times New Roman" w:cs="Times New Roman"/>
          <w:color w:val="000000"/>
          <w:sz w:val="22"/>
        </w:rPr>
      </w:pPr>
    </w:p>
    <w:p w14:paraId="55FA7ED9"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A need exists for digital twin technologies, which allows the digital footprint of any product to permeate from design inception, through development, sustainment, and finally to disposal (i.e., the entire product lifecycle). Digital twin technology is viable and allows access to the digital image of the asset in real time, leading to secure actionable information that will improve a process, product, or service of any organization [Ref 1]. </w:t>
      </w:r>
    </w:p>
    <w:p w14:paraId="05E13D2D" w14:textId="77777777" w:rsidR="00C9232E" w:rsidRPr="00AA7A47" w:rsidRDefault="00C9232E" w:rsidP="00C9232E">
      <w:pPr>
        <w:rPr>
          <w:rFonts w:eastAsia="Times New Roman" w:cs="Times New Roman"/>
          <w:noProof/>
          <w:color w:val="000000"/>
          <w:sz w:val="22"/>
        </w:rPr>
      </w:pPr>
    </w:p>
    <w:p w14:paraId="2CF4A1D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concept has been around for a while, as shown during the disaster of the Apollo 13 mission. NASA demonstrated the technology with a mirrored system on the ground, which rescued the flight, and is further illustrated in Reference 2. Digital twin technology involves creating a virtual representation of a physical product. Digital twins are powered by machine learning algorithms and are continuously learning systems. The products are connected in a cloud-based environment that receives the data from the sensors. The input data is analyzed and compared to the organization’s baseline data to identify actionable information. The goal for the digital twin technology is to create, test, and build a product in a virtual environment and demonstrate improved product design, monitor product health to identify potential degradation, and simulate manufacturing processes. This will allow real-time monitoring and preventive maintenance of the product, which will reduce product life cycle costs. In the future, every physical product will have a virtual replica (model) hosted in the cloud and enriched every day with operational data to make the model more robust.</w:t>
      </w:r>
    </w:p>
    <w:p w14:paraId="3FF2962B"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 </w:t>
      </w:r>
    </w:p>
    <w:p w14:paraId="5877C54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Currently, model-based system engineering (MBSE) approaches, which move the record of authority from documents to digital models managed in a data-rich environment, are used to build products. MBSE approaches enable organizations to understand design change impacts, communicate design intent, and analyze and predict product design before it is built. System architecture models are developed when MBSE integration occurs across multiple domains such as program management, product support, manufacturing (involving analytical), verification, software, and mechanical and electrical models.</w:t>
      </w:r>
    </w:p>
    <w:p w14:paraId="05D78CC9" w14:textId="77777777" w:rsidR="00C9232E" w:rsidRPr="00AA7A47" w:rsidRDefault="00C9232E" w:rsidP="00C9232E">
      <w:pPr>
        <w:rPr>
          <w:rFonts w:eastAsia="Times New Roman" w:cs="Times New Roman"/>
          <w:noProof/>
          <w:color w:val="000000"/>
          <w:sz w:val="22"/>
        </w:rPr>
      </w:pPr>
    </w:p>
    <w:p w14:paraId="3940AEA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Advancements in information technologies (such as computational capabilities, the internet, cloud environment, internet of things enabled by sensors with connectivity and bandwidth factors, and cyber communication) are making the virtual space significant; in this virtual space, analog data from the physical space is converted into digital data that can be easily stored, analyzed, and displayed. Currently, there are huge gaps in the information technologies mentioned; therefore, significant research and development is needed. The combination of information technologies with MBSE enables digital twin technologies [Ref 3].    </w:t>
      </w:r>
    </w:p>
    <w:p w14:paraId="0178CF8E" w14:textId="77777777" w:rsidR="00C9232E" w:rsidRPr="00AA7A47" w:rsidRDefault="00C9232E" w:rsidP="00C9232E">
      <w:pPr>
        <w:rPr>
          <w:rFonts w:eastAsia="Times New Roman" w:cs="Times New Roman"/>
          <w:noProof/>
          <w:color w:val="000000"/>
          <w:sz w:val="22"/>
        </w:rPr>
      </w:pPr>
    </w:p>
    <w:p w14:paraId="12BF2560"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Digital twin technology is not widespread due to the requirements of prohibitive computing power needs, accessibility, bandwidth, and storage issues. Lack of robust data analytics aided by artificial intelligence, machine learning techniques, and visualization tools is impeding technology development. Digital twin technology has the potential to improve supply chain integrity, flight safety, in-flight service, condition-based maintenance, foreign object detection, and predictive maintenance. For example, developing any predictive maintenance algorithm requires sensor data, which can be utilized to train a classification </w:t>
      </w:r>
      <w:r w:rsidRPr="00AA7A47">
        <w:rPr>
          <w:rFonts w:eastAsia="Times New Roman" w:cs="Times New Roman"/>
          <w:noProof/>
          <w:color w:val="000000"/>
          <w:sz w:val="22"/>
        </w:rPr>
        <w:lastRenderedPageBreak/>
        <w:t xml:space="preserve">algorithm for fault detection. This algorithm is used for verification and is installed as a code to the control unit of the product. It is nearly impossible to create the fault conditions necessary for training a predictive maintenance algorithm on the actual product. A solution to this challenge is to create a digital twin of the product (a model), and apply simulation and analysis of sensor data for various fault conditions. A neural network detects abnormal patterns of the sensor data, reflects the trends in predictive models, which are then used to predict failures, and allows tests for all fault conditions with severity. The entire procedure should be automated, thereby allowing tests of “what-if” scenarios on the digital twin model. </w:t>
      </w:r>
    </w:p>
    <w:p w14:paraId="4A097C7D" w14:textId="77777777" w:rsidR="00C9232E" w:rsidRPr="00AA7A47" w:rsidRDefault="00C9232E" w:rsidP="00C9232E">
      <w:pPr>
        <w:rPr>
          <w:rFonts w:eastAsia="Times New Roman" w:cs="Times New Roman"/>
          <w:noProof/>
          <w:color w:val="000000"/>
          <w:sz w:val="22"/>
        </w:rPr>
      </w:pPr>
    </w:p>
    <w:p w14:paraId="68F9979E"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Predictive maintenance helps to determine when an aircraft product needs maintenance. It reduces downtime and prevents product failure by enabling maintenance to be scheduled based on the actual need rather than at predetermined intervals. It can be used to calculate maintenance-related parameters (MTBF – Mean Time between Failures), forecast the behavior of the product under different circumstances, and simulate different maintenance scenarios. Thus, predictive maintenance capability helps to extend the product life and reduce total ownership costs. Collectively, it will contribute to improving the Navy’s mission readiness and sustainment significantly. </w:t>
      </w:r>
    </w:p>
    <w:p w14:paraId="4A3A8694" w14:textId="77777777" w:rsidR="00C9232E" w:rsidRPr="00AA7A47" w:rsidRDefault="00C9232E" w:rsidP="00C9232E">
      <w:pPr>
        <w:rPr>
          <w:rFonts w:eastAsia="Times New Roman" w:cs="Times New Roman"/>
          <w:noProof/>
          <w:color w:val="000000"/>
          <w:sz w:val="22"/>
        </w:rPr>
      </w:pPr>
    </w:p>
    <w:p w14:paraId="4249B11C"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It is envisioned that we will be able to develop a virtual integrated model-based representation of a physical product, allow the simulation of the product in a real setting in a dynamic fashion, and demonstrate closed loops between the virtual and physical space. Challenges for this include developing an accurate model that precisely reflects the physical twin’s properties. To improve the models further, a digital twin also requires remodeling based on the changes in the product’s configuration. For predicting failures, detailed blueprints of a product’s failure modes are required. Since the digital twin is a replica of the physical product itself, the requirements, qualification, and certification necessary to determine the flight worthiness of the product are the same for the virtual model as well. The expected outcomes of the effort are real-time monitoring and in-flight service of the product, since the digital twin represents an advanced engineered product. This will enable prolonged product life to deliver capabilities continually. </w:t>
      </w:r>
    </w:p>
    <w:p w14:paraId="201C54BE" w14:textId="77777777" w:rsidR="00C9232E" w:rsidRPr="00AA7A47" w:rsidRDefault="00C9232E" w:rsidP="00C9232E">
      <w:pPr>
        <w:rPr>
          <w:rFonts w:eastAsia="Times New Roman" w:cs="Times New Roman"/>
          <w:noProof/>
          <w:color w:val="000000"/>
          <w:sz w:val="22"/>
        </w:rPr>
      </w:pPr>
    </w:p>
    <w:p w14:paraId="79EBC121"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Any product used in naval aircraft can be considered for the proof of concept demonstration (e.g., propulsion engine, electrical power system, fuel system, avionics, air vehicle, auxiliary support equipment, electronic warfare system, human-machine interface).</w:t>
      </w:r>
    </w:p>
    <w:p w14:paraId="645D1376" w14:textId="77777777" w:rsidR="00C9232E" w:rsidRPr="00AA7A47" w:rsidRDefault="00C9232E" w:rsidP="00C9232E">
      <w:pPr>
        <w:rPr>
          <w:rFonts w:eastAsia="Times New Roman" w:cs="Times New Roman"/>
          <w:noProof/>
          <w:color w:val="000000"/>
          <w:sz w:val="22"/>
        </w:rPr>
      </w:pPr>
    </w:p>
    <w:p w14:paraId="61C07519"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F593B1E" w14:textId="77777777" w:rsidR="00C9232E" w:rsidRPr="00AA7A47" w:rsidRDefault="00C9232E" w:rsidP="00C9232E">
      <w:pPr>
        <w:rPr>
          <w:rFonts w:eastAsia="Times New Roman" w:cs="Times New Roman"/>
          <w:color w:val="000000"/>
          <w:sz w:val="22"/>
        </w:rPr>
      </w:pPr>
    </w:p>
    <w:p w14:paraId="0D3DAB1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a concept to create a digital twin of a product to show its present state using a model. Develop digital twin processes in the product life cycle – design stage to the field use, maintain and sustain in the real-world case. For validation, demonstrate the closed loop that would exist between physical and virtual space. Apply modeling, simulation, and analysis as necessary. Phase I will include prototype plans for Phase II.</w:t>
      </w:r>
    </w:p>
    <w:p w14:paraId="11DA60BD" w14:textId="77777777" w:rsidR="00C9232E" w:rsidRPr="00AA7A47" w:rsidRDefault="00C9232E" w:rsidP="00C9232E">
      <w:pPr>
        <w:rPr>
          <w:rFonts w:eastAsia="Times New Roman" w:cs="Times New Roman"/>
          <w:color w:val="000000"/>
          <w:sz w:val="22"/>
        </w:rPr>
      </w:pPr>
    </w:p>
    <w:p w14:paraId="01BDE70A"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Develop a prototype product (a high-fidelity model) by integrating the physical asset to the digital twin and demonstrate the closed loop between physical - virtual - physical space. Demonstrate the </w:t>
      </w:r>
      <w:r w:rsidRPr="00AA7A47">
        <w:rPr>
          <w:rFonts w:eastAsia="Times New Roman" w:cs="Times New Roman"/>
          <w:noProof/>
          <w:color w:val="000000"/>
          <w:sz w:val="22"/>
        </w:rPr>
        <w:lastRenderedPageBreak/>
        <w:t>applicability of readiness and sustainment influencing factors such as condition-based maintenance, foreign object detection, predictive maintenance, and flight safety with quantifiable metrics. Quantify the cost benefits, such as reduction in the operation cost and total lifecycle cost, as applicable.</w:t>
      </w:r>
    </w:p>
    <w:p w14:paraId="6D551CD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Demonstrate the applicability of “what-if” scenarios tested against factors such as product performance management, manufacturing processes, and Navy-unique harsh environmental operating conditions. Demonstrate the scalability of the digital technology to multiple products of an aircraft. </w:t>
      </w:r>
    </w:p>
    <w:p w14:paraId="75400C0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the Description section.</w:t>
      </w:r>
    </w:p>
    <w:p w14:paraId="351AEBB9" w14:textId="77777777" w:rsidR="00C9232E" w:rsidRPr="00AA7A47" w:rsidRDefault="00C9232E" w:rsidP="00C9232E">
      <w:pPr>
        <w:rPr>
          <w:rFonts w:eastAsia="Times New Roman" w:cs="Times New Roman"/>
          <w:color w:val="000000"/>
          <w:sz w:val="22"/>
        </w:rPr>
      </w:pPr>
    </w:p>
    <w:p w14:paraId="64D1D712"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 xml:space="preserve">Develop robust architecture, showing the linkage between connectivity and services. Demonstrate the integration of the product into naval aircraft and perform final testing. Successfully transition, implement, and insert the technology for warfighter benefits. Develop mobile application solutions as applicable. </w:t>
      </w:r>
    </w:p>
    <w:p w14:paraId="6134B696" w14:textId="77777777" w:rsidR="00C9232E" w:rsidRPr="00AA7A47" w:rsidRDefault="00C9232E" w:rsidP="00C9232E">
      <w:pPr>
        <w:rPr>
          <w:rFonts w:eastAsia="Times New Roman" w:cs="Times New Roman"/>
          <w:noProof/>
          <w:color w:val="000000"/>
          <w:sz w:val="22"/>
        </w:rPr>
      </w:pPr>
    </w:p>
    <w:p w14:paraId="3E4D8BA8"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Aerospace industry, Manufacturing, Automobile sectors will benefit from the digital twin technology. The successful demonstration of the digital twin of the product that is operationalized will enable the applicability of the approach to any product/process/service industry to achieve cost benefits.</w:t>
      </w:r>
    </w:p>
    <w:p w14:paraId="3FF38CD7" w14:textId="77777777" w:rsidR="00C9232E" w:rsidRPr="00AA7A47" w:rsidRDefault="00C9232E" w:rsidP="00C9232E">
      <w:pPr>
        <w:rPr>
          <w:rFonts w:eastAsia="Times New Roman" w:cs="Times New Roman"/>
          <w:color w:val="000000"/>
          <w:sz w:val="22"/>
        </w:rPr>
      </w:pPr>
    </w:p>
    <w:p w14:paraId="7D6EE1A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21D3C3CC" w14:textId="23F601F5"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“Industry 4.0 and the Digital Twin: Manufacturing Meets Its Match.” Deloitte University Press, 2017. </w:t>
      </w:r>
      <w:hyperlink r:id="rId97" w:history="1">
        <w:r w:rsidR="00626543" w:rsidRPr="007743A7">
          <w:rPr>
            <w:rStyle w:val="Hyperlink"/>
            <w:rFonts w:eastAsia="Times New Roman" w:cs="Times New Roman"/>
            <w:noProof/>
            <w:sz w:val="22"/>
          </w:rPr>
          <w:t>https://www2.deloitte.com/content/dam/Deloitte/cn/Documents/cip/deloitte-cn-cip-industry-4-0-digital-twin-technology-en-171215.pdf</w:t>
        </w:r>
      </w:hyperlink>
      <w:r w:rsidR="00626543">
        <w:rPr>
          <w:rFonts w:eastAsia="Times New Roman" w:cs="Times New Roman"/>
          <w:noProof/>
          <w:color w:val="000000"/>
          <w:sz w:val="22"/>
        </w:rPr>
        <w:t xml:space="preserve"> </w:t>
      </w:r>
    </w:p>
    <w:p w14:paraId="5FA9FECB" w14:textId="77777777" w:rsidR="00D07134" w:rsidRDefault="00D07134" w:rsidP="00C9232E">
      <w:pPr>
        <w:rPr>
          <w:rFonts w:eastAsia="Times New Roman" w:cs="Times New Roman"/>
          <w:noProof/>
          <w:color w:val="000000"/>
          <w:sz w:val="22"/>
        </w:rPr>
      </w:pPr>
    </w:p>
    <w:p w14:paraId="540B33F6" w14:textId="426D194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Grieves, M. &amp; Vickers, J. “Digital Twin: Mitigating Unpredictable, Undesirable Emergent Behavior in Complex Systems (Excerpt).” Springer, 2017. </w:t>
      </w:r>
      <w:hyperlink r:id="rId98" w:history="1">
        <w:r w:rsidR="00626543" w:rsidRPr="007743A7">
          <w:rPr>
            <w:rStyle w:val="Hyperlink"/>
            <w:rFonts w:eastAsia="Times New Roman" w:cs="Times New Roman"/>
            <w:noProof/>
            <w:sz w:val="22"/>
          </w:rPr>
          <w:t>https://research.fit.edu/media/site-specific/researchfitedu/camid/documents/Origin-and-Types-of-the-Digital-Twin.pdf</w:t>
        </w:r>
      </w:hyperlink>
      <w:r w:rsidR="00626543">
        <w:rPr>
          <w:rFonts w:eastAsia="Times New Roman" w:cs="Times New Roman"/>
          <w:noProof/>
          <w:color w:val="000000"/>
          <w:sz w:val="22"/>
        </w:rPr>
        <w:t xml:space="preserve"> </w:t>
      </w:r>
    </w:p>
    <w:p w14:paraId="0992B791" w14:textId="77777777" w:rsidR="00D07134" w:rsidRDefault="00D07134" w:rsidP="00C9232E">
      <w:pPr>
        <w:rPr>
          <w:rFonts w:eastAsia="Times New Roman" w:cs="Times New Roman"/>
          <w:noProof/>
          <w:color w:val="000000"/>
          <w:sz w:val="22"/>
        </w:rPr>
      </w:pPr>
    </w:p>
    <w:p w14:paraId="4CD54FD0" w14:textId="0A3E8D70"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Tao, F., Zhang, M. &amp; Nee, A. “Digital Twin Driven Smart Manufacturing.” Elsevier, 2019. </w:t>
      </w:r>
      <w:hyperlink r:id="rId99" w:history="1">
        <w:r w:rsidR="00626543" w:rsidRPr="007743A7">
          <w:rPr>
            <w:rStyle w:val="Hyperlink"/>
            <w:rFonts w:eastAsia="Times New Roman" w:cs="Times New Roman"/>
            <w:noProof/>
            <w:sz w:val="22"/>
          </w:rPr>
          <w:t>https://www.sciencedirect.com/book/9780128176306/digital-twin-driven-smart-manufacturing</w:t>
        </w:r>
      </w:hyperlink>
      <w:r w:rsidR="00626543">
        <w:rPr>
          <w:rFonts w:eastAsia="Times New Roman" w:cs="Times New Roman"/>
          <w:noProof/>
          <w:color w:val="000000"/>
          <w:sz w:val="22"/>
        </w:rPr>
        <w:t xml:space="preserve"> </w:t>
      </w:r>
    </w:p>
    <w:p w14:paraId="2E63CA89" w14:textId="77777777" w:rsidR="00C9232E" w:rsidRPr="00AA7A47" w:rsidRDefault="00C9232E" w:rsidP="00C9232E">
      <w:pPr>
        <w:rPr>
          <w:rFonts w:eastAsia="Times New Roman" w:cs="Times New Roman"/>
          <w:color w:val="000000"/>
          <w:sz w:val="22"/>
        </w:rPr>
      </w:pPr>
    </w:p>
    <w:p w14:paraId="455DB9C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Digital Double, Artificial Intelligence, Machine Learning, Data Strategy, Architecture, Internet of Things, Cloud, Digital Twin</w:t>
      </w:r>
    </w:p>
    <w:p w14:paraId="37AD7A49" w14:textId="77777777" w:rsidR="00C9232E" w:rsidRPr="00AA7A47" w:rsidRDefault="00C9232E" w:rsidP="00C9232E">
      <w:pPr>
        <w:rPr>
          <w:rFonts w:eastAsia="Times New Roman" w:cs="Times New Roman"/>
          <w:color w:val="000000"/>
          <w:sz w:val="22"/>
        </w:rPr>
      </w:pPr>
    </w:p>
    <w:p w14:paraId="5AFBC038" w14:textId="77777777" w:rsidR="00C9232E" w:rsidRPr="00AA7A47" w:rsidRDefault="00C9232E" w:rsidP="00C9232E">
      <w:pPr>
        <w:tabs>
          <w:tab w:val="left" w:pos="1260"/>
        </w:tabs>
        <w:ind w:left="270"/>
        <w:rPr>
          <w:rFonts w:eastAsia="Times New Roman" w:cs="Times New Roman"/>
          <w:color w:val="000000"/>
          <w:sz w:val="22"/>
        </w:rPr>
      </w:pPr>
    </w:p>
    <w:p w14:paraId="070A1BC9" w14:textId="77777777" w:rsidR="00C9232E" w:rsidRPr="00AA7A47" w:rsidRDefault="00C9232E" w:rsidP="00C9232E">
      <w:pPr>
        <w:tabs>
          <w:tab w:val="left" w:pos="1260"/>
        </w:tabs>
        <w:ind w:left="270"/>
        <w:rPr>
          <w:rFonts w:eastAsia="Times New Roman" w:cs="Times New Roman"/>
          <w:color w:val="000000"/>
          <w:sz w:val="22"/>
        </w:rPr>
      </w:pPr>
    </w:p>
    <w:p w14:paraId="29D88FAA" w14:textId="77777777" w:rsidR="00C9232E" w:rsidRPr="00AA7A47" w:rsidRDefault="00C9232E" w:rsidP="00C9232E">
      <w:pPr>
        <w:tabs>
          <w:tab w:val="left" w:pos="1260"/>
        </w:tabs>
        <w:ind w:left="270"/>
        <w:rPr>
          <w:rFonts w:eastAsia="Times New Roman" w:cs="Times New Roman"/>
          <w:color w:val="000000"/>
          <w:sz w:val="22"/>
        </w:rPr>
      </w:pPr>
    </w:p>
    <w:p w14:paraId="740C3596" w14:textId="77777777" w:rsidR="00C9232E" w:rsidRPr="00AA7A47" w:rsidRDefault="00C9232E" w:rsidP="00C9232E">
      <w:pPr>
        <w:rPr>
          <w:rFonts w:eastAsia="Times New Roman" w:cs="Times New Roman"/>
          <w:color w:val="000000"/>
          <w:sz w:val="22"/>
        </w:rPr>
      </w:pPr>
    </w:p>
    <w:p w14:paraId="1370AA9D" w14:textId="77777777" w:rsidR="00C9232E" w:rsidRPr="00AA7A47" w:rsidRDefault="00C9232E" w:rsidP="00C9232E">
      <w:pPr>
        <w:rPr>
          <w:rFonts w:eastAsia="Times New Roman" w:cs="Times New Roman"/>
          <w:color w:val="000000"/>
          <w:sz w:val="22"/>
        </w:rPr>
      </w:pPr>
    </w:p>
    <w:p w14:paraId="644E0AE5"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2104E66F"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N202-106</w:t>
      </w:r>
      <w:r w:rsidRPr="00AA7A47">
        <w:rPr>
          <w:rFonts w:eastAsia="Times New Roman" w:cs="Times New Roman"/>
          <w:color w:val="000000"/>
          <w:sz w:val="22"/>
        </w:rPr>
        <w:tab/>
        <w:t xml:space="preserve">TITLE: </w:t>
      </w:r>
      <w:r w:rsidRPr="00AA7A47">
        <w:rPr>
          <w:rFonts w:eastAsia="Times New Roman" w:cs="Times New Roman"/>
          <w:noProof/>
          <w:color w:val="000000"/>
          <w:sz w:val="22"/>
        </w:rPr>
        <w:t>Alternative Software Architecture for Personal Electronic Maintenance Aids</w:t>
      </w:r>
    </w:p>
    <w:p w14:paraId="5408F1BC" w14:textId="77777777" w:rsidR="00C9232E" w:rsidRPr="00AA7A47" w:rsidRDefault="00C9232E" w:rsidP="00C9232E">
      <w:pPr>
        <w:rPr>
          <w:rFonts w:eastAsia="Times New Roman" w:cs="Times New Roman"/>
          <w:color w:val="000000"/>
          <w:sz w:val="22"/>
        </w:rPr>
      </w:pPr>
    </w:p>
    <w:p w14:paraId="762EA91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7719B17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Information Systems</w:t>
      </w:r>
    </w:p>
    <w:p w14:paraId="2FBB1C65" w14:textId="77777777" w:rsidR="00C9232E" w:rsidRPr="00AA7A47" w:rsidRDefault="00C9232E" w:rsidP="00C9232E">
      <w:pPr>
        <w:rPr>
          <w:rFonts w:eastAsia="Times New Roman" w:cs="Times New Roman"/>
          <w:color w:val="000000"/>
          <w:sz w:val="22"/>
        </w:rPr>
      </w:pPr>
    </w:p>
    <w:p w14:paraId="383D1EA4"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stable operating system architecture based upon open-source software (OSS) that reduces/eliminates dependence on Microsoft Windows. In comparison to Microsoft Windows 10, OSS operating system architecture should require fewer system resources, reduce software licensing and sustainment costs, reduce the overall Department of Defense (DOD) Information Assurance Vulnerability Alert (IAVA) patch cadence, increase performance, and integrate a robust cybersecurity posture requiring less frequent security updates and reduced typical patch file sizes than Microsoft Windows.</w:t>
      </w:r>
    </w:p>
    <w:p w14:paraId="1BCD4C27" w14:textId="77777777" w:rsidR="00C9232E" w:rsidRPr="00AA7A47" w:rsidRDefault="00C9232E" w:rsidP="00C9232E">
      <w:pPr>
        <w:rPr>
          <w:rFonts w:eastAsia="Times New Roman" w:cs="Times New Roman"/>
          <w:color w:val="000000"/>
          <w:sz w:val="22"/>
        </w:rPr>
      </w:pPr>
    </w:p>
    <w:p w14:paraId="2DEF2E17"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Currently, Portable Electronic Maintenance Aids (PEMAs) employ the Microsoft Operating System (OS) as the host OS. With the transition to Windows 10, Microsoft has migrated to “Windows as a service”. Windows 10 currently requires 20 gigabytes (GB) for a clean install. In addition to an ever-expanding footprint, the OS requires continual patching, with patch sizes often exceeding 1 GB. Each patch cycle requires a vigorous level of testing to ensure that the applications installed on the PEMA function in accordance with mission requirements. Windows license activation requirements present an additional level of complexity for systems that must function in austere environments that include both network connected and standalone/closed-loop configurations. Microsoft Windows activation requires a Key Management Service for connected systems and a soft token for disconnected systems.  </w:t>
      </w:r>
    </w:p>
    <w:p w14:paraId="4BC7EB7E" w14:textId="77777777" w:rsidR="00C9232E" w:rsidRPr="00AA7A47" w:rsidRDefault="00C9232E" w:rsidP="00C9232E">
      <w:pPr>
        <w:rPr>
          <w:rFonts w:eastAsia="Times New Roman" w:cs="Times New Roman"/>
          <w:noProof/>
          <w:color w:val="000000"/>
          <w:sz w:val="22"/>
        </w:rPr>
      </w:pPr>
    </w:p>
    <w:p w14:paraId="4FA2110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PEMA environment includes network bandwidth restrictions inherited from the host site networks: Integrated Shipboard Network System (ISNS), Consolidated Afloat Network Enterprise Services (CANES), Navy Marine Corps Intranet (NMCI), OCONUS Navy Enterprise Network (ONE NET), or Marine Corps Enterprise Network (MCEN). A significant portion of the PEMA footprint consists of standalone/closed-loop configured systems that do not connect to enterprise network. For standalone/closed-loop configured systems, the squadron Central Technical Publication Librarian must download patches from an enterprise network connected system and sneaker-net patches to the PEMA via DVD or USB hard drives. Whether patches come directly from a PEMA connected to the host-site enterprise network or sneaker-net via DVD/USB hard drive, the patches are first downloaded from an enterprise network. Occasionally patches are too large to transfer over slow/intermittent network connections and encrypted media has to be mailed to the squadron, where especially in the shipboard environment, network bandwidth is at a premium. A software architecture that results in a reduction in typical OS patch file size and patch frequency is a win for the warfighter.</w:t>
      </w:r>
    </w:p>
    <w:p w14:paraId="1773DB43" w14:textId="77777777" w:rsidR="00C9232E" w:rsidRPr="00AA7A47" w:rsidRDefault="00C9232E" w:rsidP="00C9232E">
      <w:pPr>
        <w:rPr>
          <w:rFonts w:eastAsia="Times New Roman" w:cs="Times New Roman"/>
          <w:noProof/>
          <w:color w:val="000000"/>
          <w:sz w:val="22"/>
        </w:rPr>
      </w:pPr>
    </w:p>
    <w:p w14:paraId="52AF692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PEMA Support Equipment environment consists of various Type/Model/Series (T/M/S) specific aircraft and each T/M/S specific aircraft typically includes unique, T/M/S-specific applications. The overarching goal for PEMA is to deliver a single device, to Fleet maintainers, that provide access to technical publications and related Support Equipment applications. Considering the disparate applications required by the various T/M/S aircraft represented within the Support Equipment community, an approach that requires native installation of T/M/S specific application is neither sustainable nor supportable. In order to provide a long-term, supportable and sustainable solution that addresses the Support Equipment fleet maintainer mission on one device, the PEMA architecture must support containerized applications. By employing containerized applications, the process of patching and updating the PEMA underlying software OS architecture is streamlined because patches to the underlying OS do not affect the containerized applications. Employing containerized applications significantly reduces the amount of testing required to ensure T/M/S unique applications function according to mission requirements post patch, as the OS patch does not affect containerized applications. </w:t>
      </w:r>
    </w:p>
    <w:p w14:paraId="2E614EB7" w14:textId="77777777" w:rsidR="00C9232E" w:rsidRPr="00AA7A47" w:rsidRDefault="00C9232E" w:rsidP="00C9232E">
      <w:pPr>
        <w:rPr>
          <w:rFonts w:eastAsia="Times New Roman" w:cs="Times New Roman"/>
          <w:noProof/>
          <w:color w:val="000000"/>
          <w:sz w:val="22"/>
        </w:rPr>
      </w:pPr>
    </w:p>
    <w:p w14:paraId="661584A4"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lastRenderedPageBreak/>
        <w:t>The overarching requirements are to identify and confirm the viability of an OS architecture alternative to Microsoft Windows that:</w:t>
      </w:r>
    </w:p>
    <w:p w14:paraId="628E7053"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Reduces the frequency and volume (relative to Microsoft Windows 10 OS) of ongoing software vulnerabilities and related requirements for software patch updates as identified and represented by the DoD Information Assurance Vulnerability Management (IAVM) process.</w:t>
      </w:r>
    </w:p>
    <w:p w14:paraId="0D781DCF"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Results in a reduction in typical file size requirements for OS patches (relative to Microsoft Windows 10) in order to lower network bandwidth requirements.</w:t>
      </w:r>
    </w:p>
    <w:p w14:paraId="541C5920"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Natively supports preboot CAC authentication, and full disk data-at-rest encryption including removable media encryption (without the employment of a third party commercial solution). Note: Data-at-rest encryption must meet DoD Risk Management Framework (RMF) [Ref 4] Controls: SC-28.1 Protection Of Information At Rest and applicable DISA Security Technical Implementation Guides (STIGs) [Ref 5] that include Control Correlation Identifier (CCI) 001199; SC-28(1).3 and SC-28(1).4 Cryptographic Protection and applicable DISA STIGs that include CCIs 002475 and 002476.</w:t>
      </w:r>
    </w:p>
    <w:p w14:paraId="5E94130A"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Natively supports two-factor authentication in both network connected and standalone/closed-loop environments. Note: The two factor authentication must meet DoD Risk Management Framework (RMF) [Ref 4] Controls: IA-5(2) PKI-Based Authentication, IA-5(11) Hardware Token-Based Authentication, IA-6 Authenticator Feedback, IA-7 Cryptographic Module Authentication.</w:t>
      </w:r>
    </w:p>
    <w:p w14:paraId="71AB4E7B"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Delivers OS license activation execution that commonly supports connected and standalone environments or does not require license activation.</w:t>
      </w:r>
    </w:p>
    <w:p w14:paraId="53EEBB72"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 xml:space="preserve">Demonstrates compliance with DoD Memorandum “Clarifying Guidance Regarding Open Source Software (OSS)”, dated 16 October, 2009 as well as guidelines from Navy DON CIO Memorandum “DEPARTMENT OF THE NAVY OPEN SOURCE SOFTWARE GUIDANCE” (5 JUN 2007). </w:t>
      </w:r>
    </w:p>
    <w:p w14:paraId="0899DA83"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 xml:space="preserve">Demonstrates secure file transfer and validation, secure collaboration services, and web browser functionality.  </w:t>
      </w:r>
    </w:p>
    <w:p w14:paraId="11607BC1"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Supports display of PDF documents,</w:t>
      </w:r>
    </w:p>
    <w:p w14:paraId="3D785C60"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Supports live operation in RAM (Secure Live Media),</w:t>
      </w:r>
    </w:p>
    <w:p w14:paraId="4D7CB0BB"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Enables hosting and execution of containerized applications,</w:t>
      </w:r>
    </w:p>
    <w:p w14:paraId="4394D851"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Supports Squashed File System high speed compression capabilities.</w:t>
      </w:r>
    </w:p>
    <w:p w14:paraId="403B61DC" w14:textId="77777777" w:rsidR="00C9232E" w:rsidRPr="00AA7A47" w:rsidRDefault="00C9232E" w:rsidP="00C34768">
      <w:pPr>
        <w:pStyle w:val="ListParagraph"/>
        <w:numPr>
          <w:ilvl w:val="0"/>
          <w:numId w:val="13"/>
        </w:numPr>
        <w:rPr>
          <w:noProof/>
          <w:color w:val="000000"/>
          <w:sz w:val="22"/>
          <w:szCs w:val="22"/>
        </w:rPr>
      </w:pPr>
      <w:r w:rsidRPr="00AA7A47">
        <w:rPr>
          <w:noProof/>
          <w:color w:val="000000"/>
          <w:sz w:val="22"/>
          <w:szCs w:val="22"/>
        </w:rPr>
        <w:t xml:space="preserve">Reduces costs related to software licensing relative to the Microsoft Windows Environment. </w:t>
      </w:r>
    </w:p>
    <w:p w14:paraId="412604DF" w14:textId="77777777" w:rsidR="00C9232E" w:rsidRPr="00AA7A47" w:rsidRDefault="00C9232E" w:rsidP="00C9232E">
      <w:pPr>
        <w:rPr>
          <w:rFonts w:eastAsia="Times New Roman" w:cs="Times New Roman"/>
          <w:noProof/>
          <w:color w:val="000000"/>
          <w:sz w:val="22"/>
        </w:rPr>
      </w:pPr>
    </w:p>
    <w:p w14:paraId="6A95B19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OSS operating system should function on a ruggedized, clamshell form factor, 2-in-1 touchscreen/ keyboard configuration such as the Panasonic Toughbook currently employed as the PEMA hardware baseline. Ensure that the Open Source operating system architecture supports application containerization technology [Refs 6 and 7]. Provide an analysis of the potential for reducing the supportability and sustainability footprint with regard to patching. In comparison to Windows 10, describe the estimated benefit relative to:</w:t>
      </w:r>
    </w:p>
    <w:p w14:paraId="0BCA816A" w14:textId="77777777" w:rsidR="00C9232E" w:rsidRPr="00AA7A47" w:rsidRDefault="00C9232E" w:rsidP="00C9232E">
      <w:pPr>
        <w:rPr>
          <w:rFonts w:eastAsia="Times New Roman" w:cs="Times New Roman"/>
          <w:noProof/>
          <w:color w:val="000000"/>
          <w:sz w:val="22"/>
        </w:rPr>
      </w:pPr>
    </w:p>
    <w:p w14:paraId="72D382A4" w14:textId="77777777" w:rsidR="00C9232E" w:rsidRPr="00AA7A47" w:rsidRDefault="00C9232E" w:rsidP="00C34768">
      <w:pPr>
        <w:pStyle w:val="ListParagraph"/>
        <w:numPr>
          <w:ilvl w:val="0"/>
          <w:numId w:val="14"/>
        </w:numPr>
        <w:rPr>
          <w:noProof/>
          <w:color w:val="000000"/>
          <w:sz w:val="22"/>
          <w:szCs w:val="22"/>
        </w:rPr>
      </w:pPr>
      <w:r w:rsidRPr="00AA7A47">
        <w:rPr>
          <w:noProof/>
          <w:color w:val="000000"/>
          <w:sz w:val="22"/>
          <w:szCs w:val="22"/>
        </w:rPr>
        <w:t xml:space="preserve">Time and effort involved in patching applicable vulnerabilities on a monthly basis. </w:t>
      </w:r>
    </w:p>
    <w:p w14:paraId="3747C431" w14:textId="77777777" w:rsidR="00C9232E" w:rsidRPr="00AA7A47" w:rsidRDefault="00C9232E" w:rsidP="00C34768">
      <w:pPr>
        <w:pStyle w:val="ListParagraph"/>
        <w:numPr>
          <w:ilvl w:val="0"/>
          <w:numId w:val="14"/>
        </w:numPr>
        <w:rPr>
          <w:noProof/>
          <w:color w:val="000000"/>
          <w:sz w:val="22"/>
          <w:szCs w:val="22"/>
        </w:rPr>
      </w:pPr>
      <w:r w:rsidRPr="00AA7A47">
        <w:rPr>
          <w:noProof/>
          <w:color w:val="000000"/>
          <w:sz w:val="22"/>
          <w:szCs w:val="22"/>
        </w:rPr>
        <w:t>Typical file size for applicable patches (Identify if there is a patch file size typically smaller for the OSS operating system than Windows 10).</w:t>
      </w:r>
    </w:p>
    <w:p w14:paraId="573E53F5" w14:textId="77777777" w:rsidR="00C9232E" w:rsidRPr="00AA7A47" w:rsidRDefault="00C9232E" w:rsidP="00C34768">
      <w:pPr>
        <w:pStyle w:val="ListParagraph"/>
        <w:numPr>
          <w:ilvl w:val="0"/>
          <w:numId w:val="14"/>
        </w:numPr>
        <w:rPr>
          <w:noProof/>
          <w:color w:val="000000"/>
          <w:sz w:val="22"/>
          <w:szCs w:val="22"/>
        </w:rPr>
      </w:pPr>
      <w:r w:rsidRPr="00AA7A47">
        <w:rPr>
          <w:noProof/>
          <w:color w:val="000000"/>
          <w:sz w:val="22"/>
          <w:szCs w:val="22"/>
        </w:rPr>
        <w:t>Relative frequency of required patching.</w:t>
      </w:r>
    </w:p>
    <w:p w14:paraId="0D27B4C6" w14:textId="77777777" w:rsidR="00C9232E" w:rsidRPr="00AA7A47" w:rsidRDefault="00C9232E" w:rsidP="00C9232E">
      <w:pPr>
        <w:rPr>
          <w:rFonts w:eastAsia="Times New Roman" w:cs="Times New Roman"/>
          <w:noProof/>
          <w:color w:val="000000"/>
          <w:sz w:val="22"/>
        </w:rPr>
      </w:pPr>
    </w:p>
    <w:p w14:paraId="474ED071"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analysis must provide an assessment of the ongoing requirements for patching and updating the system in comparison to the Microsoft Windows 10 environment and contrast the level of effort and risk relative to patching in the Windows environment versus the prototype-operating environment. The analysis must address system performance impacts for live operation in RAM.</w:t>
      </w:r>
    </w:p>
    <w:p w14:paraId="359F67F4" w14:textId="77777777" w:rsidR="00C9232E" w:rsidRPr="00AA7A47" w:rsidRDefault="00C9232E" w:rsidP="00C9232E">
      <w:pPr>
        <w:rPr>
          <w:rFonts w:eastAsia="Times New Roman" w:cs="Times New Roman"/>
          <w:color w:val="000000"/>
          <w:sz w:val="22"/>
        </w:rPr>
      </w:pPr>
    </w:p>
    <w:p w14:paraId="3F63BA81"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 xml:space="preserve">PHASE I: </w:t>
      </w:r>
      <w:r w:rsidRPr="00AA7A47">
        <w:rPr>
          <w:rFonts w:eastAsia="Times New Roman" w:cs="Times New Roman"/>
          <w:noProof/>
          <w:color w:val="000000"/>
          <w:sz w:val="22"/>
        </w:rPr>
        <w:t>Design and determine the technical feasibility of developing an OSS architecture OS that meets the guidelines established in References 8 and 9. With regard to supporting containerized applications identify if there is a significant difference in level-of-effort between the OSS operating system architecture and Windows 10. Provide an assessment of the technical feasibility of the OSS operating system architecture to support the capability requirements discussed in the Description section of this topic. Describe expected lifecycle support costs and tasking related to maintaining compliance with DoD and Navy Open Source Software guidelines identified in the Description. The Phase I effort will include prototype plans to be developed under Phase II.</w:t>
      </w:r>
    </w:p>
    <w:p w14:paraId="6FF6CFE9" w14:textId="77777777" w:rsidR="00C9232E" w:rsidRPr="00AA7A47" w:rsidRDefault="00C9232E" w:rsidP="00C9232E">
      <w:pPr>
        <w:rPr>
          <w:rFonts w:eastAsia="Times New Roman" w:cs="Times New Roman"/>
          <w:color w:val="000000"/>
          <w:sz w:val="22"/>
        </w:rPr>
      </w:pPr>
    </w:p>
    <w:p w14:paraId="6A9310C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and demonstrate a prototype 64-bit software architecture, including boot loader, kernel, and operating system to prove open-source concept meeting all requirements provided in the Description.</w:t>
      </w:r>
    </w:p>
    <w:p w14:paraId="26F8B615" w14:textId="77777777" w:rsidR="00C9232E" w:rsidRPr="00AA7A47" w:rsidRDefault="00C9232E" w:rsidP="00C9232E">
      <w:pPr>
        <w:rPr>
          <w:rFonts w:eastAsia="Times New Roman" w:cs="Times New Roman"/>
          <w:color w:val="000000"/>
          <w:sz w:val="22"/>
        </w:rPr>
      </w:pPr>
    </w:p>
    <w:p w14:paraId="2E6E1826"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Demonstrate the ability to support containerized applications as discussed in the Description section of this topic. Demonstrate a process for updating a containerized application and the ability to save data from the containerized application to a USB hard drive. Provide design and related support and sustainment documentation. Transition developed technology to the PEMA program of record and field as the core software image which will serve as a potential baseline for all TMS programs to transition unique Windows dependent applications to open-source architectures. Support Risk Reduction Testing, Operational Testing, potential procurement, and pilot fielding to a squadron determined by the PEMA program. Support transition of unique TMS PEMA solutions to operate within this open-source architecture.</w:t>
      </w:r>
    </w:p>
    <w:p w14:paraId="50A13F72" w14:textId="77777777" w:rsidR="00C9232E" w:rsidRPr="00AA7A47" w:rsidRDefault="00C9232E" w:rsidP="00C9232E">
      <w:pPr>
        <w:rPr>
          <w:rFonts w:eastAsia="Times New Roman" w:cs="Times New Roman"/>
          <w:noProof/>
          <w:color w:val="000000"/>
          <w:sz w:val="22"/>
        </w:rPr>
      </w:pPr>
    </w:p>
    <w:p w14:paraId="550BE9D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Technology development would benefit commercial applications supporting austere environments that require maintenance applications hosted on a ruggedized platform. Success would demonstrate how private companies can employ OSS to reduce costs related to software licensing as well as reduce costs related to ongoing requirements to maintain a strong cybersecurity posture throughout the lifecycle of a system by moving from a Microsoft Windows platform to an OSS platform. This same open source approach could be leveraged to meet other peculiar support equipment requirements in commercial and private sector environments such as commercial aircraft maintenance.</w:t>
      </w:r>
    </w:p>
    <w:p w14:paraId="4517508C" w14:textId="77777777" w:rsidR="00C9232E" w:rsidRPr="00AA7A47" w:rsidRDefault="00C9232E" w:rsidP="00C9232E">
      <w:pPr>
        <w:rPr>
          <w:rFonts w:eastAsia="Times New Roman" w:cs="Times New Roman"/>
          <w:color w:val="000000"/>
          <w:sz w:val="22"/>
        </w:rPr>
      </w:pPr>
    </w:p>
    <w:p w14:paraId="2A79EA7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2224CEBE" w14:textId="013F72A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Economides, N. and Katsamakas, E. “Linux vs. Windows: A Comparison of Application and Platform Innovation Incentives for Open Source and Proprietary Software Platforms.” The Economics of Open Source Software Development, Elsevier B.V., 2006. </w:t>
      </w:r>
      <w:hyperlink r:id="rId100" w:history="1">
        <w:r w:rsidR="00E944EA" w:rsidRPr="007743A7">
          <w:rPr>
            <w:rStyle w:val="Hyperlink"/>
            <w:rFonts w:eastAsia="Times New Roman" w:cs="Times New Roman"/>
            <w:noProof/>
            <w:sz w:val="22"/>
          </w:rPr>
          <w:t>http://www.stern.nyu.edu/networks/Linux_vs._Windows.pdf</w:t>
        </w:r>
      </w:hyperlink>
      <w:r w:rsidR="00E944EA">
        <w:rPr>
          <w:rFonts w:eastAsia="Times New Roman" w:cs="Times New Roman"/>
          <w:noProof/>
          <w:color w:val="000000"/>
          <w:sz w:val="22"/>
        </w:rPr>
        <w:t xml:space="preserve"> </w:t>
      </w:r>
    </w:p>
    <w:p w14:paraId="1A4C9712" w14:textId="77777777" w:rsidR="00E403F0" w:rsidRDefault="00E403F0" w:rsidP="00C9232E">
      <w:pPr>
        <w:rPr>
          <w:rFonts w:eastAsia="Times New Roman" w:cs="Times New Roman"/>
          <w:noProof/>
          <w:color w:val="000000"/>
          <w:sz w:val="22"/>
        </w:rPr>
      </w:pPr>
    </w:p>
    <w:p w14:paraId="791C1DFF" w14:textId="0D733AA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Hoepman, J and Jacobs, B. “Software Security Through Open Source.” Institute for Computing and Information Sciences, Radboud University, the Netherlands, April 2005. </w:t>
      </w:r>
      <w:hyperlink r:id="rId101" w:history="1">
        <w:r w:rsidR="00E944EA" w:rsidRPr="007743A7">
          <w:rPr>
            <w:rStyle w:val="Hyperlink"/>
            <w:rFonts w:eastAsia="Times New Roman" w:cs="Times New Roman"/>
            <w:noProof/>
            <w:sz w:val="22"/>
          </w:rPr>
          <w:t>https://www.cs.ru.nl/~jhh/publications/oss-acm.pdf</w:t>
        </w:r>
      </w:hyperlink>
      <w:r w:rsidR="00E944EA">
        <w:rPr>
          <w:rFonts w:eastAsia="Times New Roman" w:cs="Times New Roman"/>
          <w:noProof/>
          <w:color w:val="000000"/>
          <w:sz w:val="22"/>
        </w:rPr>
        <w:t xml:space="preserve"> </w:t>
      </w:r>
    </w:p>
    <w:p w14:paraId="151074FD" w14:textId="77777777" w:rsidR="00E403F0" w:rsidRDefault="00E403F0" w:rsidP="00C9232E">
      <w:pPr>
        <w:rPr>
          <w:rFonts w:eastAsia="Times New Roman" w:cs="Times New Roman"/>
          <w:noProof/>
          <w:color w:val="000000"/>
          <w:sz w:val="22"/>
        </w:rPr>
      </w:pPr>
    </w:p>
    <w:p w14:paraId="3BDFFEB0" w14:textId="7CAB1E2E" w:rsidR="00E403F0"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Scarfone, Karen, Jansen, Wayne, and Tracy, Miles. ”National Institute of Standards Technology (NIST) Special Publication 800-123, Guide to General Server Security – Recommendations of NIST.” July 2008. </w:t>
      </w:r>
      <w:hyperlink r:id="rId102" w:history="1">
        <w:r w:rsidR="00E944EA" w:rsidRPr="007743A7">
          <w:rPr>
            <w:rStyle w:val="Hyperlink"/>
            <w:rFonts w:eastAsia="Times New Roman" w:cs="Times New Roman"/>
            <w:noProof/>
            <w:sz w:val="22"/>
          </w:rPr>
          <w:t>http://csrc.nist.gov/publications/nistpubs/800-123/SP800-123.pdf</w:t>
        </w:r>
      </w:hyperlink>
      <w:r w:rsidR="00E944EA">
        <w:rPr>
          <w:rFonts w:eastAsia="Times New Roman" w:cs="Times New Roman"/>
          <w:noProof/>
          <w:color w:val="000000"/>
          <w:sz w:val="22"/>
        </w:rPr>
        <w:t xml:space="preserve"> </w:t>
      </w:r>
    </w:p>
    <w:p w14:paraId="54BC8C87" w14:textId="77777777" w:rsidR="00E403F0" w:rsidRDefault="00E403F0" w:rsidP="00C9232E">
      <w:pPr>
        <w:rPr>
          <w:rFonts w:eastAsia="Times New Roman" w:cs="Times New Roman"/>
          <w:noProof/>
          <w:color w:val="000000"/>
          <w:sz w:val="22"/>
        </w:rPr>
      </w:pPr>
    </w:p>
    <w:p w14:paraId="46B7AAB6" w14:textId="504A36E5" w:rsidR="00C9232E"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“DoD Risk Management Framework (RMF) Controls: SC-28.1 Protection Of Information At Rest, IA-5(2) PKI-Based Authentication, IA-5(11) Hardware Token-Based Authentication, IA-6 Authenticator Feedback, IA-7 Cryptographic Module Authentication.” https://nvd.nist.gov/800-53/Rev4/control/IA-5, https://nvd.nist.gov/800-53/Rev4/control/IA-6, https://nvd.nist.gov/800-53/Rev4/control/IA-7, </w:t>
      </w:r>
      <w:hyperlink r:id="rId103" w:history="1">
        <w:r w:rsidR="00E944EA" w:rsidRPr="007743A7">
          <w:rPr>
            <w:rStyle w:val="Hyperlink"/>
            <w:rFonts w:eastAsia="Times New Roman" w:cs="Times New Roman"/>
            <w:noProof/>
            <w:sz w:val="22"/>
          </w:rPr>
          <w:t>https://nvd.nist.gov/800-53/Rev4/control/IA-SC-28</w:t>
        </w:r>
      </w:hyperlink>
      <w:r w:rsidR="00E944EA">
        <w:rPr>
          <w:rFonts w:eastAsia="Times New Roman" w:cs="Times New Roman"/>
          <w:noProof/>
          <w:color w:val="000000"/>
          <w:sz w:val="22"/>
        </w:rPr>
        <w:t xml:space="preserve"> </w:t>
      </w:r>
    </w:p>
    <w:p w14:paraId="68CD2CA4" w14:textId="77777777" w:rsidR="00E403F0" w:rsidRPr="00AA7A47" w:rsidRDefault="00E403F0" w:rsidP="00C9232E">
      <w:pPr>
        <w:rPr>
          <w:rFonts w:eastAsia="Times New Roman" w:cs="Times New Roman"/>
          <w:noProof/>
          <w:color w:val="000000"/>
          <w:sz w:val="22"/>
        </w:rPr>
      </w:pPr>
    </w:p>
    <w:p w14:paraId="6EDD9A10" w14:textId="77777777" w:rsidR="00E403F0" w:rsidRDefault="00E403F0" w:rsidP="00C9232E">
      <w:pPr>
        <w:rPr>
          <w:rFonts w:eastAsia="Times New Roman" w:cs="Times New Roman"/>
          <w:noProof/>
          <w:color w:val="000000"/>
          <w:sz w:val="22"/>
        </w:rPr>
      </w:pPr>
    </w:p>
    <w:p w14:paraId="61004A47" w14:textId="133C2BF2" w:rsidR="006A331C"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DISA Security Technical Implementation Guides (STIGs) Control Correlation Identifier (CCIs): 001199, 002475, 002476. </w:t>
      </w:r>
      <w:hyperlink r:id="rId104" w:history="1">
        <w:r w:rsidR="00E944EA" w:rsidRPr="007743A7">
          <w:rPr>
            <w:rStyle w:val="Hyperlink"/>
            <w:rFonts w:eastAsia="Times New Roman" w:cs="Times New Roman"/>
            <w:noProof/>
            <w:sz w:val="22"/>
          </w:rPr>
          <w:t>https://public.cyber.mil/stigs/</w:t>
        </w:r>
      </w:hyperlink>
      <w:r w:rsidR="00E944EA">
        <w:rPr>
          <w:rFonts w:eastAsia="Times New Roman" w:cs="Times New Roman"/>
          <w:noProof/>
          <w:color w:val="000000"/>
          <w:sz w:val="22"/>
        </w:rPr>
        <w:t xml:space="preserve"> </w:t>
      </w:r>
    </w:p>
    <w:p w14:paraId="53DE9AD5" w14:textId="77777777" w:rsidR="006A331C" w:rsidRDefault="006A331C" w:rsidP="00C9232E">
      <w:pPr>
        <w:rPr>
          <w:rFonts w:eastAsia="Times New Roman" w:cs="Times New Roman"/>
          <w:noProof/>
          <w:color w:val="000000"/>
          <w:sz w:val="22"/>
        </w:rPr>
      </w:pPr>
    </w:p>
    <w:p w14:paraId="0F1CD153" w14:textId="143EDCD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Chandramouli, Ramaswamy. “National Institute of Standards and Technology (NIST) Interagency Report (IR) NISTIR 8176: Security Assurance Requirements for Linux Application Container Deployments.” </w:t>
      </w:r>
      <w:hyperlink r:id="rId105" w:history="1">
        <w:r w:rsidR="00E944EA" w:rsidRPr="007743A7">
          <w:rPr>
            <w:rStyle w:val="Hyperlink"/>
            <w:rFonts w:eastAsia="Times New Roman" w:cs="Times New Roman"/>
            <w:noProof/>
            <w:sz w:val="22"/>
          </w:rPr>
          <w:t>https://nvlpubs.nist.gov/nistpubs/ir/2017/NIST.IR.8176.pdf</w:t>
        </w:r>
      </w:hyperlink>
      <w:r w:rsidR="00E944EA">
        <w:rPr>
          <w:rFonts w:eastAsia="Times New Roman" w:cs="Times New Roman"/>
          <w:noProof/>
          <w:color w:val="000000"/>
          <w:sz w:val="22"/>
        </w:rPr>
        <w:t xml:space="preserve"> </w:t>
      </w:r>
    </w:p>
    <w:p w14:paraId="1895548B" w14:textId="77777777" w:rsidR="006A331C" w:rsidRDefault="006A331C" w:rsidP="00C9232E">
      <w:pPr>
        <w:rPr>
          <w:rFonts w:eastAsia="Times New Roman" w:cs="Times New Roman"/>
          <w:noProof/>
          <w:color w:val="000000"/>
          <w:sz w:val="22"/>
        </w:rPr>
      </w:pPr>
    </w:p>
    <w:p w14:paraId="2C9853FF" w14:textId="7C51E695" w:rsidR="006A331C"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7. Souppaya, Murugiah, Morello, John and Scarfone, Karen. “NIST Special Publication 800-190 Application Container Security Guide.” </w:t>
      </w:r>
      <w:hyperlink r:id="rId106" w:history="1">
        <w:r w:rsidR="00E944EA" w:rsidRPr="007743A7">
          <w:rPr>
            <w:rStyle w:val="Hyperlink"/>
            <w:rFonts w:eastAsia="Times New Roman" w:cs="Times New Roman"/>
            <w:noProof/>
            <w:sz w:val="22"/>
          </w:rPr>
          <w:t>https://nvlpubs.nist.gov/nistpubs/SpecialPublications/NIST.SP.800-190.pdf</w:t>
        </w:r>
      </w:hyperlink>
      <w:r w:rsidR="00E944EA">
        <w:rPr>
          <w:rFonts w:eastAsia="Times New Roman" w:cs="Times New Roman"/>
          <w:noProof/>
          <w:color w:val="000000"/>
          <w:sz w:val="22"/>
        </w:rPr>
        <w:t xml:space="preserve"> </w:t>
      </w:r>
    </w:p>
    <w:p w14:paraId="103E7AC4" w14:textId="77777777" w:rsidR="006A331C" w:rsidRDefault="006A331C" w:rsidP="00C9232E">
      <w:pPr>
        <w:rPr>
          <w:rFonts w:eastAsia="Times New Roman" w:cs="Times New Roman"/>
          <w:noProof/>
          <w:color w:val="000000"/>
          <w:sz w:val="22"/>
        </w:rPr>
      </w:pPr>
    </w:p>
    <w:p w14:paraId="5F972262" w14:textId="72048570"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8. “DoD Memorandum: Clarifying Guidance Regarding Open Source Software (OSS).” 16 October, 2009. </w:t>
      </w:r>
      <w:hyperlink r:id="rId107" w:history="1">
        <w:r w:rsidR="00E944EA" w:rsidRPr="007743A7">
          <w:rPr>
            <w:rStyle w:val="Hyperlink"/>
            <w:rFonts w:eastAsia="Times New Roman" w:cs="Times New Roman"/>
            <w:noProof/>
            <w:sz w:val="22"/>
          </w:rPr>
          <w:t>https://dodcio.defense.gov/Portals/0/Documents/FOSS/2009OSS.pdf</w:t>
        </w:r>
      </w:hyperlink>
      <w:r w:rsidR="00E944EA">
        <w:rPr>
          <w:rFonts w:eastAsia="Times New Roman" w:cs="Times New Roman"/>
          <w:noProof/>
          <w:color w:val="000000"/>
          <w:sz w:val="22"/>
        </w:rPr>
        <w:t xml:space="preserve"> </w:t>
      </w:r>
    </w:p>
    <w:p w14:paraId="0096B404" w14:textId="77777777" w:rsidR="006A331C" w:rsidRDefault="006A331C" w:rsidP="00C9232E">
      <w:pPr>
        <w:rPr>
          <w:rFonts w:eastAsia="Times New Roman" w:cs="Times New Roman"/>
          <w:noProof/>
          <w:color w:val="000000"/>
          <w:sz w:val="22"/>
        </w:rPr>
      </w:pPr>
    </w:p>
    <w:p w14:paraId="6E84409F" w14:textId="44F22D2F" w:rsidR="006A331C"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9. “Navy Memorandum DEPARTMENT OF THE NAVY OPEN SOURCE SOFTWARE GUIDANCE (5 JUN 2007). </w:t>
      </w:r>
      <w:hyperlink r:id="rId108" w:history="1">
        <w:r w:rsidR="00E944EA" w:rsidRPr="007743A7">
          <w:rPr>
            <w:rStyle w:val="Hyperlink"/>
            <w:rFonts w:eastAsia="Times New Roman" w:cs="Times New Roman"/>
            <w:noProof/>
            <w:sz w:val="22"/>
          </w:rPr>
          <w:t>https://www.doncio.navy.mil/FileHandler.ashx?id=261</w:t>
        </w:r>
      </w:hyperlink>
      <w:r w:rsidR="00E944EA">
        <w:rPr>
          <w:rFonts w:eastAsia="Times New Roman" w:cs="Times New Roman"/>
          <w:noProof/>
          <w:color w:val="000000"/>
          <w:sz w:val="22"/>
        </w:rPr>
        <w:t xml:space="preserve"> </w:t>
      </w:r>
    </w:p>
    <w:p w14:paraId="07BBFB5E" w14:textId="77777777" w:rsidR="006A331C" w:rsidRDefault="006A331C" w:rsidP="00C9232E">
      <w:pPr>
        <w:rPr>
          <w:rFonts w:eastAsia="Times New Roman" w:cs="Times New Roman"/>
          <w:noProof/>
          <w:color w:val="000000"/>
          <w:sz w:val="22"/>
        </w:rPr>
      </w:pPr>
    </w:p>
    <w:p w14:paraId="440F0383" w14:textId="5A896A3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10. DoD Frequently Asked Question (FAQ) regarding Open Source Software (OSS). </w:t>
      </w:r>
      <w:hyperlink r:id="rId109" w:history="1">
        <w:r w:rsidR="00E944EA" w:rsidRPr="007743A7">
          <w:rPr>
            <w:rStyle w:val="Hyperlink"/>
            <w:rFonts w:eastAsia="Times New Roman" w:cs="Times New Roman"/>
            <w:noProof/>
            <w:sz w:val="22"/>
          </w:rPr>
          <w:t>https://dodcio.defense.gov/Open-Source-Software-FAQ</w:t>
        </w:r>
      </w:hyperlink>
      <w:r w:rsidR="00E944EA">
        <w:rPr>
          <w:rFonts w:eastAsia="Times New Roman" w:cs="Times New Roman"/>
          <w:noProof/>
          <w:color w:val="000000"/>
          <w:sz w:val="22"/>
        </w:rPr>
        <w:t xml:space="preserve"> </w:t>
      </w:r>
    </w:p>
    <w:p w14:paraId="0F068060" w14:textId="77777777" w:rsidR="00C9232E" w:rsidRPr="00AA7A47" w:rsidRDefault="00C9232E" w:rsidP="00C9232E">
      <w:pPr>
        <w:rPr>
          <w:rFonts w:eastAsia="Times New Roman" w:cs="Times New Roman"/>
          <w:color w:val="000000"/>
          <w:sz w:val="22"/>
        </w:rPr>
      </w:pPr>
    </w:p>
    <w:p w14:paraId="077796CE"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Cyber Security, Windows as a Service, IAVM, Open Source Software, Open Source Architecture, Application Container, OSS, Operating System, OS</w:t>
      </w:r>
    </w:p>
    <w:p w14:paraId="11E10B98" w14:textId="77777777" w:rsidR="00C9232E" w:rsidRPr="00AA7A47" w:rsidRDefault="00C9232E" w:rsidP="00C9232E">
      <w:pPr>
        <w:rPr>
          <w:rFonts w:eastAsia="Times New Roman" w:cs="Times New Roman"/>
          <w:color w:val="000000"/>
          <w:sz w:val="22"/>
        </w:rPr>
      </w:pPr>
    </w:p>
    <w:p w14:paraId="56BA649C" w14:textId="77777777" w:rsidR="00C9232E" w:rsidRPr="00AA7A47" w:rsidRDefault="00C9232E" w:rsidP="00C9232E">
      <w:pPr>
        <w:tabs>
          <w:tab w:val="left" w:pos="1260"/>
        </w:tabs>
        <w:ind w:left="270"/>
        <w:rPr>
          <w:rFonts w:eastAsia="Times New Roman" w:cs="Times New Roman"/>
          <w:color w:val="000000"/>
          <w:sz w:val="22"/>
        </w:rPr>
      </w:pPr>
    </w:p>
    <w:p w14:paraId="47B287FE" w14:textId="77777777" w:rsidR="00C9232E" w:rsidRPr="00AA7A47" w:rsidRDefault="00C9232E" w:rsidP="00C9232E">
      <w:pPr>
        <w:tabs>
          <w:tab w:val="left" w:pos="1260"/>
        </w:tabs>
        <w:ind w:left="270"/>
        <w:rPr>
          <w:rFonts w:eastAsia="Times New Roman" w:cs="Times New Roman"/>
          <w:color w:val="000000"/>
          <w:sz w:val="22"/>
        </w:rPr>
      </w:pPr>
    </w:p>
    <w:p w14:paraId="2717F484" w14:textId="77777777" w:rsidR="00C9232E" w:rsidRPr="00AA7A47" w:rsidRDefault="00C9232E" w:rsidP="00C9232E">
      <w:pPr>
        <w:tabs>
          <w:tab w:val="left" w:pos="1260"/>
        </w:tabs>
        <w:ind w:left="270"/>
        <w:rPr>
          <w:rFonts w:eastAsia="Times New Roman" w:cs="Times New Roman"/>
          <w:color w:val="000000"/>
          <w:sz w:val="22"/>
        </w:rPr>
      </w:pPr>
    </w:p>
    <w:p w14:paraId="5D0C2C3D" w14:textId="77777777" w:rsidR="00C9232E" w:rsidRPr="00AA7A47" w:rsidRDefault="00C9232E" w:rsidP="00C9232E">
      <w:pPr>
        <w:rPr>
          <w:rFonts w:eastAsia="Times New Roman" w:cs="Times New Roman"/>
          <w:color w:val="000000"/>
          <w:sz w:val="22"/>
        </w:rPr>
      </w:pPr>
    </w:p>
    <w:p w14:paraId="370A1A85" w14:textId="77777777" w:rsidR="00C9232E" w:rsidRPr="00AA7A47" w:rsidRDefault="00C9232E" w:rsidP="00C9232E">
      <w:pPr>
        <w:rPr>
          <w:rFonts w:eastAsia="Times New Roman" w:cs="Times New Roman"/>
          <w:color w:val="000000"/>
          <w:sz w:val="22"/>
        </w:rPr>
      </w:pPr>
    </w:p>
    <w:p w14:paraId="19A82B8C"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639B5B6B"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N202-107</w:t>
      </w:r>
      <w:r w:rsidRPr="00AA7A47">
        <w:rPr>
          <w:rFonts w:eastAsia="Times New Roman" w:cs="Times New Roman"/>
          <w:color w:val="000000"/>
          <w:sz w:val="22"/>
        </w:rPr>
        <w:tab/>
        <w:t xml:space="preserve">TITLE: </w:t>
      </w:r>
      <w:r w:rsidRPr="00AA7A47">
        <w:rPr>
          <w:rFonts w:eastAsia="Times New Roman" w:cs="Times New Roman"/>
          <w:noProof/>
          <w:color w:val="000000"/>
          <w:sz w:val="22"/>
        </w:rPr>
        <w:t>Radio Communication with Hypersonic Aerial Vehicle</w:t>
      </w:r>
    </w:p>
    <w:p w14:paraId="5A0F1599" w14:textId="77777777" w:rsidR="00C9232E" w:rsidRPr="00AA7A47" w:rsidRDefault="00C9232E" w:rsidP="00C9232E">
      <w:pPr>
        <w:rPr>
          <w:rFonts w:eastAsia="Times New Roman" w:cs="Times New Roman"/>
          <w:color w:val="000000"/>
          <w:sz w:val="22"/>
        </w:rPr>
      </w:pPr>
    </w:p>
    <w:p w14:paraId="0FBC86D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Hypersonics,  Network Command, Control and Communications;</w:t>
      </w:r>
    </w:p>
    <w:p w14:paraId="4E8DD46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Electronics</w:t>
      </w:r>
    </w:p>
    <w:p w14:paraId="321A3548" w14:textId="77777777" w:rsidR="00C9232E" w:rsidRPr="00AA7A47" w:rsidRDefault="00C9232E" w:rsidP="00C9232E">
      <w:pPr>
        <w:rPr>
          <w:rFonts w:eastAsia="Times New Roman" w:cs="Times New Roman"/>
          <w:noProof/>
          <w:color w:val="000000"/>
          <w:sz w:val="22"/>
        </w:rPr>
      </w:pPr>
    </w:p>
    <w:p w14:paraId="327AD80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DBE92AF" w14:textId="77777777" w:rsidR="00C9232E" w:rsidRPr="00AA7A47" w:rsidRDefault="00C9232E" w:rsidP="00C9232E">
      <w:pPr>
        <w:rPr>
          <w:rFonts w:eastAsia="Times New Roman" w:cs="Times New Roman"/>
          <w:color w:val="000000"/>
          <w:sz w:val="22"/>
        </w:rPr>
      </w:pPr>
    </w:p>
    <w:p w14:paraId="030E0D02"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an effective radio frequency communication system solution for communicating through the plasma sheath surrounding a hypersonic aerial vehicle.</w:t>
      </w:r>
    </w:p>
    <w:p w14:paraId="4D15B980" w14:textId="77777777" w:rsidR="00C9232E" w:rsidRPr="00AA7A47" w:rsidRDefault="00C9232E" w:rsidP="00C9232E">
      <w:pPr>
        <w:rPr>
          <w:rFonts w:eastAsia="Times New Roman" w:cs="Times New Roman"/>
          <w:color w:val="000000"/>
          <w:sz w:val="22"/>
        </w:rPr>
      </w:pPr>
    </w:p>
    <w:p w14:paraId="557A510C"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When a vehicle is traveling at hypersonic speed through the atmosphere, a plasma sheath envelops the aerial vehicle because of the ionization and dissociation of the atmosphere surrounding the vehicle [Refs 1-3]. The plasma sheath prevents radio communication, telemetry, and Global Positioning System (GPS) signal reception for navigation [Ref 4].</w:t>
      </w:r>
    </w:p>
    <w:p w14:paraId="50841944" w14:textId="77777777" w:rsidR="00C9232E" w:rsidRPr="00AA7A47" w:rsidRDefault="00C9232E" w:rsidP="00C9232E">
      <w:pPr>
        <w:rPr>
          <w:rFonts w:eastAsia="Times New Roman" w:cs="Times New Roman"/>
          <w:noProof/>
          <w:color w:val="000000"/>
          <w:sz w:val="22"/>
        </w:rPr>
      </w:pPr>
    </w:p>
    <w:p w14:paraId="76CA32B9"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This radio “blackout” period poses a serious challenge that hinders the use of hypersonic aerial vehicles for future naval applications. Development of an appropriate mitigation method to allow uninterrupted aerial vehicle to control station and control station to vehicle communications through the plasma sheath during the entire hypersonic flight is required. </w:t>
      </w:r>
    </w:p>
    <w:p w14:paraId="4608C80F" w14:textId="77777777" w:rsidR="00C9232E" w:rsidRPr="00AA7A47" w:rsidRDefault="00C9232E" w:rsidP="00C9232E">
      <w:pPr>
        <w:rPr>
          <w:rFonts w:eastAsia="Times New Roman" w:cs="Times New Roman"/>
          <w:noProof/>
          <w:color w:val="000000"/>
          <w:sz w:val="22"/>
        </w:rPr>
      </w:pPr>
    </w:p>
    <w:p w14:paraId="59EFD42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Develop and demonstrate an effective blackout mitigation solution that enables continuous communication between a stationary or mobile platform and a hypersonic vehicle during hypersonic flight. Many mitigation techniques have been proposed, including but not limited to, aerodynamic shaping, magnetic windows, and liquid injection. Any innovative solution capable of eliminating any radio frequency communication disruptions due to the plasma sheath [Ref 4] will be considered.</w:t>
      </w:r>
    </w:p>
    <w:p w14:paraId="60AB64F6" w14:textId="77777777" w:rsidR="00C9232E" w:rsidRPr="00AA7A47" w:rsidRDefault="00C9232E" w:rsidP="00C9232E">
      <w:pPr>
        <w:rPr>
          <w:rFonts w:eastAsia="Times New Roman" w:cs="Times New Roman"/>
          <w:color w:val="000000"/>
          <w:sz w:val="22"/>
        </w:rPr>
      </w:pPr>
    </w:p>
    <w:p w14:paraId="2A4D2E6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concepts for communication directly through the plasma sheath of a hypersonic aerial vehicle in the frequency band between 1.1 to 5.6 GHz for error-free GPS and radio communication for a separation distance up to 20,000 km. Perform modeling and simulation of the proposed concepts in the hypersonic environment to validate their feasibility. Complete design tradeoffs to predict the performance, size, weight, and power requirement of the most promising design. The Phase I effort will include prototype plans to be developed under Phase II.</w:t>
      </w:r>
    </w:p>
    <w:p w14:paraId="6DFAC524" w14:textId="77777777" w:rsidR="00C9232E" w:rsidRPr="00AA7A47" w:rsidRDefault="00C9232E" w:rsidP="00C9232E">
      <w:pPr>
        <w:rPr>
          <w:rFonts w:eastAsia="Times New Roman" w:cs="Times New Roman"/>
          <w:color w:val="000000"/>
          <w:sz w:val="22"/>
        </w:rPr>
      </w:pPr>
    </w:p>
    <w:p w14:paraId="4869E319"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Develop a hardware prototype based on the Phase I design. Demonstrate the prototype’s radio frequency communication capability and characterize its communication performance in a terrestrial plasma chamber to establish proof of concept.</w:t>
      </w:r>
    </w:p>
    <w:p w14:paraId="213A1B03" w14:textId="77777777" w:rsidR="00C9232E" w:rsidRPr="00AA7A47" w:rsidRDefault="00C9232E" w:rsidP="00C9232E">
      <w:pPr>
        <w:rPr>
          <w:rFonts w:eastAsia="Times New Roman" w:cs="Times New Roman"/>
          <w:color w:val="000000"/>
          <w:sz w:val="22"/>
        </w:rPr>
      </w:pPr>
    </w:p>
    <w:p w14:paraId="4D2B0F44"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Fully develop and transition the radio frequency communication system based on the final design from Phase II for Naval applications in the areas of reliable and error-free radio communication with hypersonic aerial vehicles.</w:t>
      </w:r>
    </w:p>
    <w:p w14:paraId="07F580FE" w14:textId="77777777" w:rsidR="00C9232E" w:rsidRPr="00AA7A47" w:rsidRDefault="00C9232E" w:rsidP="00C9232E">
      <w:pPr>
        <w:rPr>
          <w:rFonts w:eastAsia="Times New Roman" w:cs="Times New Roman"/>
          <w:noProof/>
          <w:color w:val="000000"/>
          <w:sz w:val="22"/>
        </w:rPr>
      </w:pPr>
    </w:p>
    <w:p w14:paraId="70624937"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The commercial sector would benefit from this research and development in the area of radio communication with hypersonic re-entry space vehicles.</w:t>
      </w:r>
    </w:p>
    <w:p w14:paraId="059FC4FC" w14:textId="77777777" w:rsidR="00C9232E" w:rsidRPr="00AA7A47" w:rsidRDefault="00C9232E" w:rsidP="00C9232E">
      <w:pPr>
        <w:rPr>
          <w:rFonts w:eastAsia="Times New Roman" w:cs="Times New Roman"/>
          <w:color w:val="000000"/>
          <w:sz w:val="22"/>
        </w:rPr>
      </w:pPr>
    </w:p>
    <w:p w14:paraId="5D54B0B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REFERENCES:</w:t>
      </w:r>
    </w:p>
    <w:p w14:paraId="150C4D07" w14:textId="78EC943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Chadwick, K.M., Boyer, D.W. and Andre, S.S. “Plasma and Flowfield Induced Effects on Hypervelocity Reentry Vehicles for L-Band Irradiation at Near Broadside Aspect Angles.” 27th AIAA Plasmadynamics and Lasers Conference, New Orleans, LA, June 1996.  </w:t>
      </w:r>
      <w:hyperlink r:id="rId110" w:history="1">
        <w:r w:rsidR="00A662D2" w:rsidRPr="007743A7">
          <w:rPr>
            <w:rStyle w:val="Hyperlink"/>
            <w:rFonts w:eastAsia="Times New Roman" w:cs="Times New Roman"/>
            <w:noProof/>
            <w:sz w:val="22"/>
          </w:rPr>
          <w:t>https://arc.aiaa.org/doi/10.2514/6.1996-2322</w:t>
        </w:r>
      </w:hyperlink>
      <w:r w:rsidR="00A662D2">
        <w:rPr>
          <w:rFonts w:eastAsia="Times New Roman" w:cs="Times New Roman"/>
          <w:noProof/>
          <w:color w:val="000000"/>
          <w:sz w:val="22"/>
        </w:rPr>
        <w:t xml:space="preserve"> </w:t>
      </w:r>
    </w:p>
    <w:p w14:paraId="29111511" w14:textId="77777777" w:rsidR="006A331C" w:rsidRDefault="006A331C" w:rsidP="00C9232E">
      <w:pPr>
        <w:rPr>
          <w:rFonts w:eastAsia="Times New Roman" w:cs="Times New Roman"/>
          <w:noProof/>
          <w:color w:val="000000"/>
          <w:sz w:val="22"/>
        </w:rPr>
      </w:pPr>
    </w:p>
    <w:p w14:paraId="13F3B247" w14:textId="553338A6"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2. Norris, G. “Plasma Puzzle: Radio Frequency-Blocking Sheath Presents a Hurdle to Hypersonic Flight.” Aviation Week &amp; Space Technology, March 2009, p. 58.</w:t>
      </w:r>
    </w:p>
    <w:p w14:paraId="3DF63EA9" w14:textId="77777777" w:rsidR="006A331C" w:rsidRDefault="006A331C" w:rsidP="00C9232E">
      <w:pPr>
        <w:rPr>
          <w:rFonts w:eastAsia="Times New Roman" w:cs="Times New Roman"/>
          <w:noProof/>
          <w:color w:val="000000"/>
          <w:sz w:val="22"/>
        </w:rPr>
      </w:pPr>
    </w:p>
    <w:p w14:paraId="5731D14B" w14:textId="7C061B66" w:rsidR="006A331C"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Blottner, F.G. “Viscous Shock Layer at the Stagnation Point with Nonequilibrium Air Chemistry.” AIAA Journal, vol. 7, no. 12, December 1969, pp. 2281-2288. </w:t>
      </w:r>
      <w:hyperlink r:id="rId111" w:history="1">
        <w:r w:rsidR="00A662D2" w:rsidRPr="007743A7">
          <w:rPr>
            <w:rStyle w:val="Hyperlink"/>
            <w:rFonts w:eastAsia="Times New Roman" w:cs="Times New Roman"/>
            <w:noProof/>
            <w:sz w:val="22"/>
          </w:rPr>
          <w:t>https://arc.aiaa.org/doi/abs/10.2514/3.5528?journalCode=aiaaj</w:t>
        </w:r>
      </w:hyperlink>
      <w:r w:rsidR="00A662D2">
        <w:rPr>
          <w:rFonts w:eastAsia="Times New Roman" w:cs="Times New Roman"/>
          <w:noProof/>
          <w:color w:val="000000"/>
          <w:sz w:val="22"/>
        </w:rPr>
        <w:t xml:space="preserve"> </w:t>
      </w:r>
    </w:p>
    <w:p w14:paraId="6EA4BBA8" w14:textId="77777777" w:rsidR="006A331C" w:rsidRDefault="006A331C" w:rsidP="00C9232E">
      <w:pPr>
        <w:rPr>
          <w:rFonts w:eastAsia="Times New Roman" w:cs="Times New Roman"/>
          <w:noProof/>
          <w:color w:val="000000"/>
          <w:sz w:val="22"/>
        </w:rPr>
      </w:pPr>
    </w:p>
    <w:p w14:paraId="070B1222" w14:textId="6F09DDF1"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4. Hartunian, R.A. et al. “Implication and Mitigation of Radio Frequency Blackout during Reentry of Reusable Launch Vehicles.”  AIAA Atmospheric Flight Mechanics Conference, Hilton Head, South Carolina, Aug 20-23, 2007</w:t>
      </w:r>
      <w:r w:rsidR="00A662D2">
        <w:rPr>
          <w:rFonts w:eastAsia="Times New Roman" w:cs="Times New Roman"/>
          <w:noProof/>
          <w:color w:val="000000"/>
          <w:sz w:val="22"/>
        </w:rPr>
        <w:t xml:space="preserve"> </w:t>
      </w:r>
    </w:p>
    <w:p w14:paraId="4EC348A4" w14:textId="77777777" w:rsidR="00C9232E" w:rsidRPr="00AA7A47" w:rsidRDefault="00C9232E" w:rsidP="00C9232E">
      <w:pPr>
        <w:rPr>
          <w:rFonts w:eastAsia="Times New Roman" w:cs="Times New Roman"/>
          <w:color w:val="000000"/>
          <w:sz w:val="22"/>
        </w:rPr>
      </w:pPr>
    </w:p>
    <w:p w14:paraId="34C68E73"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Radio Frequency, Communication, Plasma, Hypersonic, Black-Out, GPS</w:t>
      </w:r>
    </w:p>
    <w:p w14:paraId="4053A792" w14:textId="77777777" w:rsidR="00C9232E" w:rsidRPr="00AA7A47" w:rsidRDefault="00C9232E" w:rsidP="00C9232E">
      <w:pPr>
        <w:rPr>
          <w:rFonts w:eastAsia="Times New Roman" w:cs="Times New Roman"/>
          <w:color w:val="000000"/>
          <w:sz w:val="22"/>
        </w:rPr>
      </w:pPr>
    </w:p>
    <w:p w14:paraId="66B17644" w14:textId="77777777" w:rsidR="00C9232E" w:rsidRPr="00AA7A47" w:rsidRDefault="00C9232E" w:rsidP="00C9232E">
      <w:pPr>
        <w:tabs>
          <w:tab w:val="left" w:pos="1260"/>
        </w:tabs>
        <w:ind w:left="270"/>
        <w:rPr>
          <w:rFonts w:eastAsia="Times New Roman" w:cs="Times New Roman"/>
          <w:color w:val="000000"/>
          <w:sz w:val="22"/>
        </w:rPr>
      </w:pPr>
    </w:p>
    <w:p w14:paraId="4112E9AB" w14:textId="77777777" w:rsidR="00C9232E" w:rsidRPr="00AA7A47" w:rsidRDefault="00C9232E" w:rsidP="00C9232E">
      <w:pPr>
        <w:tabs>
          <w:tab w:val="left" w:pos="1260"/>
        </w:tabs>
        <w:ind w:left="270"/>
        <w:rPr>
          <w:rFonts w:eastAsia="Times New Roman" w:cs="Times New Roman"/>
          <w:color w:val="000000"/>
          <w:sz w:val="22"/>
        </w:rPr>
      </w:pPr>
    </w:p>
    <w:p w14:paraId="0D9B0C3B" w14:textId="77777777" w:rsidR="00C9232E" w:rsidRPr="00AA7A47" w:rsidRDefault="00C9232E" w:rsidP="00C9232E">
      <w:pPr>
        <w:tabs>
          <w:tab w:val="left" w:pos="1260"/>
        </w:tabs>
        <w:ind w:left="270"/>
        <w:rPr>
          <w:rFonts w:eastAsia="Times New Roman" w:cs="Times New Roman"/>
          <w:color w:val="000000"/>
          <w:sz w:val="22"/>
        </w:rPr>
      </w:pPr>
    </w:p>
    <w:p w14:paraId="1030F560" w14:textId="77777777" w:rsidR="00C9232E" w:rsidRPr="00AA7A47" w:rsidRDefault="00C9232E" w:rsidP="00C9232E">
      <w:pPr>
        <w:rPr>
          <w:rFonts w:eastAsia="Times New Roman" w:cs="Times New Roman"/>
          <w:color w:val="000000"/>
          <w:sz w:val="22"/>
        </w:rPr>
      </w:pPr>
    </w:p>
    <w:p w14:paraId="4142115B" w14:textId="77777777" w:rsidR="00C9232E" w:rsidRPr="00AA7A47" w:rsidRDefault="00C9232E" w:rsidP="00C9232E">
      <w:pPr>
        <w:rPr>
          <w:rFonts w:eastAsia="Times New Roman" w:cs="Times New Roman"/>
          <w:color w:val="000000"/>
          <w:sz w:val="22"/>
        </w:rPr>
      </w:pPr>
    </w:p>
    <w:p w14:paraId="1EA0B3B7"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161B3D4A"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N202-108</w:t>
      </w:r>
      <w:r w:rsidRPr="00AA7A47">
        <w:rPr>
          <w:rFonts w:eastAsia="Times New Roman" w:cs="Times New Roman"/>
          <w:color w:val="000000"/>
          <w:sz w:val="22"/>
        </w:rPr>
        <w:tab/>
        <w:t xml:space="preserve">TITLE: </w:t>
      </w:r>
      <w:r w:rsidRPr="00AA7A47">
        <w:rPr>
          <w:rFonts w:eastAsia="Times New Roman" w:cs="Times New Roman"/>
          <w:noProof/>
          <w:color w:val="000000"/>
          <w:sz w:val="22"/>
        </w:rPr>
        <w:t>Modeling Neuromorphic and Advanced Computing Architectures</w:t>
      </w:r>
    </w:p>
    <w:p w14:paraId="2E0AF023" w14:textId="77777777" w:rsidR="00C9232E" w:rsidRPr="00AA7A47" w:rsidRDefault="00C9232E" w:rsidP="00C9232E">
      <w:pPr>
        <w:rPr>
          <w:rFonts w:eastAsia="Times New Roman" w:cs="Times New Roman"/>
          <w:color w:val="000000"/>
          <w:sz w:val="22"/>
        </w:rPr>
      </w:pPr>
    </w:p>
    <w:p w14:paraId="74AB47A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69E8C2C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Information Systems</w:t>
      </w:r>
    </w:p>
    <w:p w14:paraId="218663D5" w14:textId="77777777" w:rsidR="00C9232E" w:rsidRPr="00AA7A47" w:rsidRDefault="00C9232E" w:rsidP="00C9232E">
      <w:pPr>
        <w:rPr>
          <w:rFonts w:eastAsia="Times New Roman" w:cs="Times New Roman"/>
          <w:color w:val="000000"/>
          <w:sz w:val="22"/>
        </w:rPr>
      </w:pPr>
    </w:p>
    <w:p w14:paraId="3BB093AF"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01E67FC" w14:textId="77777777" w:rsidR="00C9232E" w:rsidRPr="00AA7A47" w:rsidRDefault="00C9232E" w:rsidP="00C9232E">
      <w:pPr>
        <w:rPr>
          <w:rFonts w:eastAsia="Times New Roman" w:cs="Times New Roman"/>
          <w:color w:val="000000"/>
          <w:sz w:val="22"/>
        </w:rPr>
      </w:pPr>
    </w:p>
    <w:p w14:paraId="2987E5FF"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software tool to optimize the signal processing chain across various sensors and systems, e.g., radar, electronic warfare (EW), electro-optical/infrared (EO/IR), and communications, that consists of functional models that can be assembled to produce an integrated network model used to predict overall detection/classification, power, and throughput performance to make design trade-off decisions.</w:t>
      </w:r>
    </w:p>
    <w:p w14:paraId="5D8F2AFF" w14:textId="77777777" w:rsidR="00C9232E" w:rsidRPr="00AA7A47" w:rsidRDefault="00C9232E" w:rsidP="00C9232E">
      <w:pPr>
        <w:rPr>
          <w:rFonts w:eastAsia="Times New Roman" w:cs="Times New Roman"/>
          <w:color w:val="000000"/>
          <w:sz w:val="22"/>
        </w:rPr>
      </w:pPr>
    </w:p>
    <w:p w14:paraId="58716C2D"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Conventional computing architectures are running up against a quantum limit in terms of transistor size and efficiency, sometimes referred to as the end of Moore’s Law. To regain our competitive edge, we need to find a way around this limit. This is especially relevant for small size, weight, and power (SWaP)-constrained platforms. For these systems, scaling Von Neumann computing becomes prohibitively expensive in terms of power and/or SWaP.</w:t>
      </w:r>
    </w:p>
    <w:p w14:paraId="124FD7A3" w14:textId="77777777" w:rsidR="00C9232E" w:rsidRPr="00AA7A47" w:rsidRDefault="00C9232E" w:rsidP="00C9232E">
      <w:pPr>
        <w:rPr>
          <w:rFonts w:eastAsia="Times New Roman" w:cs="Times New Roman"/>
          <w:noProof/>
          <w:color w:val="000000"/>
          <w:sz w:val="22"/>
        </w:rPr>
      </w:pPr>
    </w:p>
    <w:p w14:paraId="1C10412A"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Biologically inspired neural networks provide the basis for modern signal processing and classification algorithms. Implementation of these algorithms on conventional computing hardware requires significant compromises in efficiency and latency due to fundamental design differences. A new class of hardware is emerging that more closely resembles the biological neuron model, also known as a spiking neuron model; mathematically describing the systems found in nature and may solve some of these limitations and bottlenecks. Recent work has demonstrated performance gains using these new hardware architectures and have shown equivalence to converge on a solution with the same accuracy [Ref 1].</w:t>
      </w:r>
    </w:p>
    <w:p w14:paraId="36A09D88" w14:textId="77777777" w:rsidR="00C9232E" w:rsidRPr="00AA7A47" w:rsidRDefault="00C9232E" w:rsidP="00C9232E">
      <w:pPr>
        <w:rPr>
          <w:rFonts w:eastAsia="Times New Roman" w:cs="Times New Roman"/>
          <w:noProof/>
          <w:color w:val="000000"/>
          <w:sz w:val="22"/>
        </w:rPr>
      </w:pPr>
    </w:p>
    <w:p w14:paraId="4AC849DD"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The most promising of the new class are based on Spiking Neural Networks (SNN) and analog Processing in Memory (PiM) where information is spatially and temporally encoded onto the network. It can be shown that a simple spiking network can reproduce the complex behavior found in the neural cortex with significant reduction in complexity and power requirements [Ref 2]. Fundamentally, there should be no difference in algorithms based on neural networks. In fact, they can easily be transferred between hardware architectures [Ref 4]. Performance gains and the relative ease of transitioning current algorithms over to the new hardware motivates consideration of this SBIR topic.    </w:t>
      </w:r>
    </w:p>
    <w:p w14:paraId="00C68CDD" w14:textId="77777777" w:rsidR="00C9232E" w:rsidRPr="00AA7A47" w:rsidRDefault="00C9232E" w:rsidP="00C9232E">
      <w:pPr>
        <w:rPr>
          <w:rFonts w:eastAsia="Times New Roman" w:cs="Times New Roman"/>
          <w:noProof/>
          <w:color w:val="000000"/>
          <w:sz w:val="22"/>
        </w:rPr>
      </w:pPr>
    </w:p>
    <w:p w14:paraId="5C16AB23"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Hardware based on SNN is currently under development at various stages of maturity. Two prominent examples are the IBM True North and the Intel Loihi chips. The IBM approach uses conventional Complementary Metal-Oxide Semiconductor (CMOS) technology and the IBM approach uses a less mature memristor architecture. Estimated efficiency performance increase is greater than 3 orders of magnitude better than state-of-the-art graphics processing units (GPU) or field-programmable gate arrays (FPGA). More advanced architectures based on an all optical or photonic-based SNN show even more promise. Nano-Photonic-based systems are estimated to achieve 6 orders of magnitude increase in efficiency and computational density, approaching the performance of a human neural cortex. Modeling </w:t>
      </w:r>
      <w:r w:rsidRPr="00AA7A47">
        <w:rPr>
          <w:rFonts w:eastAsia="Times New Roman" w:cs="Times New Roman"/>
          <w:noProof/>
          <w:color w:val="000000"/>
          <w:sz w:val="22"/>
        </w:rPr>
        <w:lastRenderedPageBreak/>
        <w:t>these systems to make design and acquisition decisions is of great interest and importance. Validating these performance estimates and providing a modeling tool is the basis for this SBIR topic.</w:t>
      </w:r>
    </w:p>
    <w:p w14:paraId="6CB04809" w14:textId="77777777" w:rsidR="00C9232E" w:rsidRPr="00AA7A47" w:rsidRDefault="00C9232E" w:rsidP="00C9232E">
      <w:pPr>
        <w:rPr>
          <w:rFonts w:eastAsia="Times New Roman" w:cs="Times New Roman"/>
          <w:noProof/>
          <w:color w:val="000000"/>
          <w:sz w:val="22"/>
        </w:rPr>
      </w:pPr>
    </w:p>
    <w:p w14:paraId="41C8834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primary goal of this effort is to create a software tool that captures the non-linear physics of these SNNs, and possibly other neuromorphic and related low-SWaP architectures, as well as functionally model their behavior. It is recommended to use open source languages, software, and hardware when possible. A similar approach [Ref 6] should be considered as a starting point, with the ultimate goal of producing a viable and flexible product for capturing, modeling, and understanding the behaviors of a composite system constructed to employ these adaptive learning systems, including all systems ranging from CMOS to photonics. Additionally, the model should be able to take an algorithm developed on a conventional neural network framework like Caffe, PyTorch, TensorFlow, etc. and run it through the functional model to predict performance criteria like latency and throughput. The secondary goal is to build up a network framework to model multi-step processing chains. For example, a hypothetical processing chain for a communications system might be filter, in-phase quadrature (IQ) demodulation, frequency decomposition, symbol detection, interference mitigation, filter, and decryption.</w:t>
      </w:r>
    </w:p>
    <w:p w14:paraId="4460CD9A" w14:textId="77777777" w:rsidR="00C9232E" w:rsidRPr="00AA7A47" w:rsidRDefault="00C9232E" w:rsidP="00C9232E">
      <w:pPr>
        <w:rPr>
          <w:rFonts w:eastAsia="Times New Roman" w:cs="Times New Roman"/>
          <w:noProof/>
          <w:color w:val="000000"/>
          <w:sz w:val="22"/>
        </w:rPr>
      </w:pPr>
    </w:p>
    <w:p w14:paraId="50BC5720"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46739B8" w14:textId="77777777" w:rsidR="00C9232E" w:rsidRPr="00AA7A47" w:rsidRDefault="00C9232E" w:rsidP="00C9232E">
      <w:pPr>
        <w:rPr>
          <w:rFonts w:eastAsia="Times New Roman" w:cs="Times New Roman"/>
          <w:color w:val="000000"/>
          <w:sz w:val="22"/>
        </w:rPr>
      </w:pPr>
    </w:p>
    <w:p w14:paraId="671E328A"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Design and develop the modeling approach and demonstrate feasibility to capture the relevant physics and computational complexity. Demonstrate a functional model of a SNN. The Phase I effort will include prototype plans to be developed under Phase II.</w:t>
      </w:r>
    </w:p>
    <w:p w14:paraId="0C85CB27" w14:textId="77777777" w:rsidR="00C9232E" w:rsidRPr="00AA7A47" w:rsidRDefault="00C9232E" w:rsidP="00C9232E">
      <w:pPr>
        <w:rPr>
          <w:rFonts w:eastAsia="Times New Roman" w:cs="Times New Roman"/>
          <w:color w:val="000000"/>
          <w:sz w:val="22"/>
        </w:rPr>
      </w:pPr>
    </w:p>
    <w:p w14:paraId="03CF43AE"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Validate the functional model using test cases from literature. Model validation with hardware is strongly encouraged, however, due to the limited availability of hardware this is not a requirement. The model will need to contain a network framework for various processing steps across multiple sensor areas using lower level functional models. Priorities sensor/functional areas are EW, radar, communications, and EO/IR.  </w:t>
      </w:r>
    </w:p>
    <w:p w14:paraId="416419A4"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in Phase II may become classified. Please see note in Description section.</w:t>
      </w:r>
    </w:p>
    <w:p w14:paraId="38388198" w14:textId="77777777" w:rsidR="00C9232E" w:rsidRPr="00AA7A47" w:rsidRDefault="00C9232E" w:rsidP="00C9232E">
      <w:pPr>
        <w:rPr>
          <w:rFonts w:eastAsia="Times New Roman" w:cs="Times New Roman"/>
          <w:color w:val="000000"/>
          <w:sz w:val="22"/>
        </w:rPr>
      </w:pPr>
    </w:p>
    <w:p w14:paraId="6AD075F7"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Refine algorithms and test with hardware. Validate models with data provided by Naval Air Warfare Center (NAWC) Aircraft Division (AD)/Weapons Division (WD). Transition model to the warfare centers. Development of documentation, training manuals, and software maintenance may be required.</w:t>
      </w:r>
    </w:p>
    <w:p w14:paraId="5A4A6516" w14:textId="77777777" w:rsidR="00C9232E" w:rsidRPr="00AA7A47" w:rsidRDefault="00C9232E" w:rsidP="00C9232E">
      <w:pPr>
        <w:rPr>
          <w:rFonts w:eastAsia="Times New Roman" w:cs="Times New Roman"/>
          <w:noProof/>
          <w:color w:val="000000"/>
          <w:sz w:val="22"/>
        </w:rPr>
      </w:pPr>
    </w:p>
    <w:p w14:paraId="7314ED9B"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Heavy commercial investments in machine learning and artificial intelligence will likely continue for the foreseeable future. Adoption of hardware that can deliver on orders of magnitude in SWaP performance for intelligent mobile machine applications is estimated to be worth 10^9-10^12 global dollars annually.) Provide the software tools needed to optimize the algorithms and hardware integration. This effort would be a significant contribution to this requirement. Industries that would benefit from successful technology development include automotive (self-driving vehicles), personal robots, and a variety of intelligent sensors.</w:t>
      </w:r>
    </w:p>
    <w:p w14:paraId="04EC53BD" w14:textId="77777777" w:rsidR="00C9232E" w:rsidRPr="00AA7A47" w:rsidRDefault="00C9232E" w:rsidP="00C9232E">
      <w:pPr>
        <w:rPr>
          <w:rFonts w:eastAsia="Times New Roman" w:cs="Times New Roman"/>
          <w:color w:val="000000"/>
          <w:sz w:val="22"/>
        </w:rPr>
      </w:pPr>
    </w:p>
    <w:p w14:paraId="79553A05"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lastRenderedPageBreak/>
        <w:t>REFERENCES:</w:t>
      </w:r>
    </w:p>
    <w:p w14:paraId="559FD324" w14:textId="378ED9F2"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1. Ambrogio, S., Narayanan, P., Tsai, H., Shelby, R.M., Boybat, I., Nolfo, C.D., Sidler, S., Giordano, M., Bodini, M., Farinha, N.C., Killeen, B., Cheng, C., Jaoudi, Y. &amp; Burr, G.W. “Equivalent-accuracy accelerated neural-network training using analogue memory.” Nature, 558, 2018, pp. 60-67   DOI:10.1038/s41586-018-0180-5</w:t>
      </w:r>
      <w:r w:rsidR="00C14295">
        <w:rPr>
          <w:rFonts w:eastAsia="Times New Roman" w:cs="Times New Roman"/>
          <w:noProof/>
          <w:color w:val="000000"/>
          <w:sz w:val="22"/>
        </w:rPr>
        <w:t xml:space="preserve"> </w:t>
      </w:r>
    </w:p>
    <w:p w14:paraId="073261EA" w14:textId="77777777" w:rsidR="00191918" w:rsidRDefault="00191918" w:rsidP="00C9232E">
      <w:pPr>
        <w:rPr>
          <w:rFonts w:eastAsia="Times New Roman" w:cs="Times New Roman"/>
          <w:noProof/>
          <w:color w:val="000000"/>
          <w:sz w:val="22"/>
        </w:rPr>
      </w:pPr>
    </w:p>
    <w:p w14:paraId="6F73F9B2" w14:textId="7CB7F06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Izhikevich, E.M. “Simple model of spiking neurons.” IEEE Transactions on Neural Networks, Volume: 14, Issue: 6, 2003. </w:t>
      </w:r>
      <w:hyperlink r:id="rId112" w:history="1">
        <w:r w:rsidR="00C14295" w:rsidRPr="007743A7">
          <w:rPr>
            <w:rStyle w:val="Hyperlink"/>
            <w:rFonts w:eastAsia="Times New Roman" w:cs="Times New Roman"/>
            <w:noProof/>
            <w:sz w:val="22"/>
          </w:rPr>
          <w:t>https://ieeexplore.ieee.org/document/1257420</w:t>
        </w:r>
      </w:hyperlink>
      <w:r w:rsidR="00C14295">
        <w:rPr>
          <w:rFonts w:eastAsia="Times New Roman" w:cs="Times New Roman"/>
          <w:noProof/>
          <w:color w:val="000000"/>
          <w:sz w:val="22"/>
        </w:rPr>
        <w:t xml:space="preserve"> </w:t>
      </w:r>
    </w:p>
    <w:p w14:paraId="4C324765" w14:textId="77777777" w:rsidR="00191918" w:rsidRDefault="00191918" w:rsidP="00C9232E">
      <w:pPr>
        <w:rPr>
          <w:rFonts w:eastAsia="Times New Roman" w:cs="Times New Roman"/>
          <w:noProof/>
          <w:color w:val="000000"/>
          <w:sz w:val="22"/>
        </w:rPr>
      </w:pPr>
    </w:p>
    <w:p w14:paraId="0941BF6E" w14:textId="6FD101DF" w:rsidR="00191918"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Diehl, P. U., Zarrella, G., Cassidy, A., Pedroni, B. U. &amp; Neftci, E. “Conversion of artificial recurrent neural networks to spiking neural networks for low-power neuromorphic hardware.” ArXiv:1601.04187 [cs:NE], 2016.  </w:t>
      </w:r>
      <w:hyperlink r:id="rId113" w:history="1">
        <w:r w:rsidR="00C14295" w:rsidRPr="007743A7">
          <w:rPr>
            <w:rStyle w:val="Hyperlink"/>
            <w:rFonts w:eastAsia="Times New Roman" w:cs="Times New Roman"/>
            <w:noProof/>
            <w:sz w:val="22"/>
          </w:rPr>
          <w:t>https://arxiv.org/pdf/1601.04187.pdf</w:t>
        </w:r>
      </w:hyperlink>
      <w:r w:rsidR="00C14295">
        <w:rPr>
          <w:rFonts w:eastAsia="Times New Roman" w:cs="Times New Roman"/>
          <w:noProof/>
          <w:color w:val="000000"/>
          <w:sz w:val="22"/>
        </w:rPr>
        <w:t xml:space="preserve"> </w:t>
      </w:r>
    </w:p>
    <w:p w14:paraId="44C952A1" w14:textId="77777777" w:rsidR="00191918" w:rsidRDefault="00191918" w:rsidP="00C9232E">
      <w:pPr>
        <w:rPr>
          <w:rFonts w:eastAsia="Times New Roman" w:cs="Times New Roman"/>
          <w:noProof/>
          <w:color w:val="000000"/>
          <w:sz w:val="22"/>
        </w:rPr>
      </w:pPr>
    </w:p>
    <w:p w14:paraId="4F3F17E6" w14:textId="02D685E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Esser, S.K., Merolla, P., Arthur, J.V., Cassidy, A.S., Appuswamy, R., Andreopoulos, A., Berg, D.J., McKinstry, J.L., Melano, T., Barch, D., Nolfo, C.D., Datta, P., Amir, A., Taba, B., Flickner, M. &amp; Modha, D.S. “Convolutional networks for fast, energy-efficient neuromorphic computing.” Proceedings of the National Academy of Sciences of the United States of America, 113 41, pp. 11441-11446. </w:t>
      </w:r>
      <w:hyperlink r:id="rId114" w:history="1">
        <w:r w:rsidR="00C14295" w:rsidRPr="007743A7">
          <w:rPr>
            <w:rStyle w:val="Hyperlink"/>
            <w:rFonts w:eastAsia="Times New Roman" w:cs="Times New Roman"/>
            <w:noProof/>
            <w:sz w:val="22"/>
          </w:rPr>
          <w:t>https://arxiv.org/pdf/1603.08270.pdf</w:t>
        </w:r>
      </w:hyperlink>
      <w:r w:rsidR="00C14295">
        <w:rPr>
          <w:rFonts w:eastAsia="Times New Roman" w:cs="Times New Roman"/>
          <w:noProof/>
          <w:color w:val="000000"/>
          <w:sz w:val="22"/>
        </w:rPr>
        <w:t xml:space="preserve"> </w:t>
      </w:r>
    </w:p>
    <w:p w14:paraId="00B2198A" w14:textId="77777777" w:rsidR="00191918" w:rsidRDefault="00191918" w:rsidP="00C9232E">
      <w:pPr>
        <w:rPr>
          <w:rFonts w:eastAsia="Times New Roman" w:cs="Times New Roman"/>
          <w:noProof/>
          <w:color w:val="000000"/>
          <w:sz w:val="22"/>
        </w:rPr>
      </w:pPr>
    </w:p>
    <w:p w14:paraId="1A4B4C78" w14:textId="6A5E0BC0" w:rsidR="00191918"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“National Defense Strategy 2018.” United States Congress. </w:t>
      </w:r>
      <w:hyperlink r:id="rId115" w:history="1">
        <w:r w:rsidR="00C14295" w:rsidRPr="007743A7">
          <w:rPr>
            <w:rStyle w:val="Hyperlink"/>
            <w:rFonts w:eastAsia="Times New Roman" w:cs="Times New Roman"/>
            <w:noProof/>
            <w:sz w:val="22"/>
          </w:rPr>
          <w:t>https://dod.defense.gov/Portals/1/Documents/pubs/2018-National-Defense-Strategy-Summary.pdf</w:t>
        </w:r>
      </w:hyperlink>
      <w:r w:rsidR="00C14295">
        <w:rPr>
          <w:rFonts w:eastAsia="Times New Roman" w:cs="Times New Roman"/>
          <w:noProof/>
          <w:color w:val="000000"/>
          <w:sz w:val="22"/>
        </w:rPr>
        <w:t xml:space="preserve"> </w:t>
      </w:r>
    </w:p>
    <w:p w14:paraId="4E67DF8E" w14:textId="77777777" w:rsidR="00191918" w:rsidRDefault="00191918" w:rsidP="00C9232E">
      <w:pPr>
        <w:rPr>
          <w:rFonts w:eastAsia="Times New Roman" w:cs="Times New Roman"/>
          <w:noProof/>
          <w:color w:val="000000"/>
          <w:sz w:val="22"/>
        </w:rPr>
      </w:pPr>
    </w:p>
    <w:p w14:paraId="4284C4AC" w14:textId="6E66C7BF"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6. Rajendran, B., Sebastian, A., Schmuker, M., Srinivasa, N. &amp; Eleftheriou, E. “Low-Power Neuromorphic Hardware for Signal Processing Applications.” </w:t>
      </w:r>
      <w:hyperlink r:id="rId116" w:history="1">
        <w:r w:rsidR="00C14295" w:rsidRPr="007743A7">
          <w:rPr>
            <w:rStyle w:val="Hyperlink"/>
            <w:rFonts w:eastAsia="Times New Roman" w:cs="Times New Roman"/>
            <w:noProof/>
            <w:sz w:val="22"/>
          </w:rPr>
          <w:t>https://arxiv.org/pdf/1901.03690.pdf</w:t>
        </w:r>
      </w:hyperlink>
      <w:r w:rsidR="00C14295">
        <w:rPr>
          <w:rFonts w:eastAsia="Times New Roman" w:cs="Times New Roman"/>
          <w:noProof/>
          <w:color w:val="000000"/>
          <w:sz w:val="22"/>
        </w:rPr>
        <w:t xml:space="preserve"> </w:t>
      </w:r>
    </w:p>
    <w:p w14:paraId="6600084A" w14:textId="77777777" w:rsidR="00191918" w:rsidRDefault="00191918" w:rsidP="00C9232E">
      <w:pPr>
        <w:rPr>
          <w:rFonts w:eastAsia="Times New Roman" w:cs="Times New Roman"/>
          <w:noProof/>
          <w:color w:val="000000"/>
          <w:sz w:val="22"/>
        </w:rPr>
      </w:pPr>
    </w:p>
    <w:p w14:paraId="7A79C675" w14:textId="09A8A208"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7. Wolfe, N., Plagge, M., Carothers, C. D., Mubarak M. and Ross, R. B. "Evaluating the Impact of Spiking Neural Network Traffic on Extreme-Scale Hybrid Systems." 2018 IEEE/ACM Performance Modeling, Benchmarking and Simulation of High Performance Computer Systems (PMBS), Dallas, TX, USA, 2018, pp. 108-120. doi: 10.1109/PMBS.2018.8641660</w:t>
      </w:r>
      <w:r w:rsidR="00C14295">
        <w:rPr>
          <w:rFonts w:eastAsia="Times New Roman" w:cs="Times New Roman"/>
          <w:noProof/>
          <w:color w:val="000000"/>
          <w:sz w:val="22"/>
        </w:rPr>
        <w:t xml:space="preserve"> </w:t>
      </w:r>
    </w:p>
    <w:p w14:paraId="2CBF7DC0" w14:textId="77777777" w:rsidR="00C9232E" w:rsidRPr="00AA7A47" w:rsidRDefault="00C9232E" w:rsidP="00C9232E">
      <w:pPr>
        <w:rPr>
          <w:rFonts w:eastAsia="Times New Roman" w:cs="Times New Roman"/>
          <w:color w:val="000000"/>
          <w:sz w:val="22"/>
        </w:rPr>
      </w:pPr>
    </w:p>
    <w:p w14:paraId="49480358"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Spiking Neural Network, Neuromorphic Computing, Modeling, Convolution Neural Network, Analog Memory, Processing in Memory</w:t>
      </w:r>
    </w:p>
    <w:p w14:paraId="6AB52394" w14:textId="77777777" w:rsidR="00C9232E" w:rsidRPr="00AA7A47" w:rsidRDefault="00C9232E" w:rsidP="00C9232E">
      <w:pPr>
        <w:rPr>
          <w:rFonts w:eastAsia="Times New Roman" w:cs="Times New Roman"/>
          <w:color w:val="000000"/>
          <w:sz w:val="22"/>
        </w:rPr>
      </w:pPr>
    </w:p>
    <w:p w14:paraId="0BB63241" w14:textId="77777777" w:rsidR="00C9232E" w:rsidRPr="00AA7A47" w:rsidRDefault="00C9232E" w:rsidP="00C9232E">
      <w:pPr>
        <w:tabs>
          <w:tab w:val="left" w:pos="1260"/>
        </w:tabs>
        <w:ind w:left="270"/>
        <w:rPr>
          <w:rFonts w:eastAsia="Times New Roman" w:cs="Times New Roman"/>
          <w:color w:val="000000"/>
          <w:sz w:val="22"/>
        </w:rPr>
      </w:pPr>
    </w:p>
    <w:p w14:paraId="67B29D7C" w14:textId="77777777" w:rsidR="00C9232E" w:rsidRPr="00AA7A47" w:rsidRDefault="00C9232E" w:rsidP="00C9232E">
      <w:pPr>
        <w:tabs>
          <w:tab w:val="left" w:pos="1260"/>
        </w:tabs>
        <w:ind w:left="270"/>
        <w:rPr>
          <w:rFonts w:eastAsia="Times New Roman" w:cs="Times New Roman"/>
          <w:color w:val="000000"/>
          <w:sz w:val="22"/>
        </w:rPr>
      </w:pPr>
    </w:p>
    <w:p w14:paraId="4A508EE3" w14:textId="77777777" w:rsidR="00C9232E" w:rsidRPr="00AA7A47" w:rsidRDefault="00C9232E" w:rsidP="00C9232E">
      <w:pPr>
        <w:tabs>
          <w:tab w:val="left" w:pos="1260"/>
        </w:tabs>
        <w:ind w:left="270"/>
        <w:rPr>
          <w:rFonts w:eastAsia="Times New Roman" w:cs="Times New Roman"/>
          <w:color w:val="000000"/>
          <w:sz w:val="22"/>
        </w:rPr>
      </w:pPr>
    </w:p>
    <w:p w14:paraId="0F868970" w14:textId="77777777" w:rsidR="00C9232E" w:rsidRPr="00AA7A47" w:rsidRDefault="00C9232E" w:rsidP="00C9232E">
      <w:pPr>
        <w:rPr>
          <w:rFonts w:eastAsia="Times New Roman" w:cs="Times New Roman"/>
          <w:color w:val="000000"/>
          <w:sz w:val="22"/>
        </w:rPr>
      </w:pPr>
    </w:p>
    <w:p w14:paraId="3753418A" w14:textId="77777777" w:rsidR="00C9232E" w:rsidRPr="00AA7A47" w:rsidRDefault="00C9232E" w:rsidP="00C9232E">
      <w:pPr>
        <w:rPr>
          <w:rFonts w:eastAsia="Times New Roman" w:cs="Times New Roman"/>
          <w:color w:val="000000"/>
          <w:sz w:val="22"/>
        </w:rPr>
      </w:pPr>
    </w:p>
    <w:p w14:paraId="10061949" w14:textId="77777777" w:rsidR="00C9232E" w:rsidRPr="00AA7A47" w:rsidRDefault="00C9232E" w:rsidP="00C9232E">
      <w:pPr>
        <w:rPr>
          <w:sz w:val="22"/>
        </w:rPr>
        <w:sectPr w:rsidR="00C9232E" w:rsidRPr="00AA7A47" w:rsidSect="005618B4">
          <w:pgSz w:w="12240" w:h="15840"/>
          <w:pgMar w:top="1440" w:right="1440" w:bottom="1440" w:left="1440" w:header="720" w:footer="720" w:gutter="0"/>
          <w:cols w:space="720"/>
          <w:docGrid w:linePitch="360"/>
        </w:sectPr>
      </w:pPr>
    </w:p>
    <w:p w14:paraId="5504CA4E" w14:textId="77777777" w:rsidR="00C9232E" w:rsidRPr="00AA7A47" w:rsidRDefault="00C9232E" w:rsidP="00C9232E">
      <w:pPr>
        <w:ind w:left="1620" w:hanging="1620"/>
        <w:rPr>
          <w:rFonts w:eastAsia="Times New Roman" w:cs="Times New Roman"/>
          <w:color w:val="000000"/>
          <w:sz w:val="22"/>
        </w:rPr>
      </w:pPr>
      <w:r w:rsidRPr="00AA7A47">
        <w:rPr>
          <w:rFonts w:eastAsia="Times New Roman" w:cs="Times New Roman"/>
          <w:noProof/>
          <w:color w:val="000000"/>
          <w:sz w:val="22"/>
        </w:rPr>
        <w:lastRenderedPageBreak/>
        <w:t>N202-109</w:t>
      </w:r>
      <w:r w:rsidRPr="00AA7A47">
        <w:rPr>
          <w:rFonts w:eastAsia="Times New Roman" w:cs="Times New Roman"/>
          <w:color w:val="000000"/>
          <w:sz w:val="22"/>
        </w:rPr>
        <w:tab/>
        <w:t xml:space="preserve">TITLE: </w:t>
      </w:r>
      <w:r w:rsidRPr="00AA7A47">
        <w:rPr>
          <w:rFonts w:eastAsia="Times New Roman" w:cs="Times New Roman"/>
          <w:noProof/>
          <w:color w:val="000000"/>
          <w:sz w:val="22"/>
        </w:rPr>
        <w:t>Launch System for Group 3-5 Unmanned Aerial Vehicles for Land- and Sea-Based Operations</w:t>
      </w:r>
    </w:p>
    <w:p w14:paraId="33D1E26F" w14:textId="77777777" w:rsidR="00C9232E" w:rsidRPr="00AA7A47" w:rsidRDefault="00C9232E" w:rsidP="00C9232E">
      <w:pPr>
        <w:rPr>
          <w:rFonts w:eastAsia="Times New Roman" w:cs="Times New Roman"/>
          <w:color w:val="000000"/>
          <w:sz w:val="22"/>
        </w:rPr>
      </w:pPr>
    </w:p>
    <w:p w14:paraId="15E89CD6"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RT&amp;L FOCUS AREA(S): </w:t>
      </w:r>
      <w:r w:rsidRPr="00AA7A47">
        <w:rPr>
          <w:rFonts w:eastAsia="Times New Roman" w:cs="Times New Roman"/>
          <w:noProof/>
          <w:color w:val="000000"/>
          <w:sz w:val="22"/>
        </w:rPr>
        <w:t>General Warfighting Requirements (GWR)</w:t>
      </w:r>
    </w:p>
    <w:p w14:paraId="17D56F6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TECHNOLOGY AREA(S): </w:t>
      </w:r>
      <w:r w:rsidRPr="00AA7A47">
        <w:rPr>
          <w:rFonts w:eastAsia="Times New Roman" w:cs="Times New Roman"/>
          <w:noProof/>
          <w:color w:val="000000"/>
          <w:sz w:val="22"/>
        </w:rPr>
        <w:t>Air Platform, Ground Sea</w:t>
      </w:r>
    </w:p>
    <w:p w14:paraId="7220461E" w14:textId="77777777" w:rsidR="00C9232E" w:rsidRPr="00AA7A47" w:rsidRDefault="00C9232E" w:rsidP="00C9232E">
      <w:pPr>
        <w:rPr>
          <w:rFonts w:eastAsia="Times New Roman" w:cs="Times New Roman"/>
          <w:color w:val="000000"/>
          <w:sz w:val="22"/>
        </w:rPr>
      </w:pPr>
    </w:p>
    <w:p w14:paraId="5B2EDC77"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OBJECTIVE: </w:t>
      </w:r>
      <w:r w:rsidRPr="00AA7A47">
        <w:rPr>
          <w:rFonts w:eastAsia="Times New Roman" w:cs="Times New Roman"/>
          <w:noProof/>
          <w:color w:val="000000"/>
          <w:sz w:val="22"/>
        </w:rPr>
        <w:t>Develop a reconfigurable Unmanned Aerial Vehicle (UAV) Launch System to add to an Expeditionary Sea Base (ESB) Navy Ship as a self-contained mission-driven kit. (The launch system is intended to enable UAVs such as the XQ-58A Valkyrie [Ref 5] to operate from ESBs.)</w:t>
      </w:r>
    </w:p>
    <w:p w14:paraId="2FCCACE7" w14:textId="77777777" w:rsidR="00C9232E" w:rsidRPr="00AA7A47" w:rsidRDefault="00C9232E" w:rsidP="00C9232E">
      <w:pPr>
        <w:rPr>
          <w:rFonts w:eastAsia="Times New Roman" w:cs="Times New Roman"/>
          <w:color w:val="000000"/>
          <w:sz w:val="22"/>
        </w:rPr>
      </w:pPr>
    </w:p>
    <w:p w14:paraId="5A11F46E" w14:textId="235DA670"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DESCRIPTION: </w:t>
      </w:r>
      <w:r w:rsidRPr="00AA7A47">
        <w:rPr>
          <w:rFonts w:eastAsia="Times New Roman" w:cs="Times New Roman"/>
          <w:noProof/>
          <w:color w:val="000000"/>
          <w:sz w:val="22"/>
        </w:rPr>
        <w:t xml:space="preserve">The Navy needs to operate Group 3-5 [Ref 3] fixed wing UAVs from ships other than an aircraft carrier - a capability gap that, if overcome, would significantly increase lethality, project force, and increase the range of Intelligence/Surveillance/Reconnaissance (ISR). </w:t>
      </w:r>
      <w:r w:rsidR="00B43CE0" w:rsidRPr="00B43CE0">
        <w:rPr>
          <w:rFonts w:eastAsia="Times New Roman" w:cs="Times New Roman"/>
          <w:noProof/>
          <w:color w:val="000000"/>
          <w:sz w:val="22"/>
        </w:rPr>
        <w:t>The UAV Launch System should be comprised of a launch technology capable of accelerating a fixed-wing, jet-powered UAV, with a wingspan of 30 feet and weight up to 6</w:t>
      </w:r>
      <w:r w:rsidR="00B43CE0">
        <w:rPr>
          <w:rFonts w:eastAsia="Times New Roman" w:cs="Times New Roman"/>
          <w:noProof/>
          <w:color w:val="000000"/>
          <w:sz w:val="22"/>
        </w:rPr>
        <w:t>,</w:t>
      </w:r>
      <w:r w:rsidR="00B43CE0" w:rsidRPr="00B43CE0">
        <w:rPr>
          <w:rFonts w:eastAsia="Times New Roman" w:cs="Times New Roman"/>
          <w:noProof/>
          <w:color w:val="000000"/>
          <w:sz w:val="22"/>
        </w:rPr>
        <w:t>000 pounds, up to 150 knots-indicated air speed (KIAS)</w:t>
      </w:r>
      <w:r w:rsidRPr="00AA7A47">
        <w:rPr>
          <w:rFonts w:eastAsia="Times New Roman" w:cs="Times New Roman"/>
          <w:noProof/>
          <w:color w:val="000000"/>
          <w:sz w:val="22"/>
        </w:rPr>
        <w:t xml:space="preserve">. The launch technology must reside, to the maximum extent possible, within the hull of the ESB. Coordination with NAVSEA/NAVAIR will be critical to understanding the most current available space(s) aboard ship, as well as any weight/power restrictions on the new launch system. </w:t>
      </w:r>
    </w:p>
    <w:p w14:paraId="7DDB09FB" w14:textId="77777777" w:rsidR="00C9232E" w:rsidRPr="00AA7A47" w:rsidRDefault="00C9232E" w:rsidP="00C9232E">
      <w:pPr>
        <w:rPr>
          <w:rFonts w:eastAsia="Times New Roman" w:cs="Times New Roman"/>
          <w:noProof/>
          <w:color w:val="000000"/>
          <w:sz w:val="22"/>
        </w:rPr>
      </w:pPr>
    </w:p>
    <w:p w14:paraId="571AE336"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Launch System must be designed to not interfere with top-side flight deck operations of the ESB, accommodate Group 3-5 UAVs with or without landing gear, and be reconfigurable such that it can conduct both shipboard launches (operationally aboard an ESB) and ground-based launches (during demonstration testing prior to installation aboard any ship). Should features of the Launch System exceed available space inboard, a stowable sponson assembly can be envisioned to extend from either side of the ESB, serving as the UAV “runway” and interfacing directly with the launch technology. The sponson may extend as far as 79 feet from the ESB and is limited to a length of 300 feet. Any design solution relying on a sponson must address impact on the ship’s performance, both pier-side and at sea, and may not interfere with basic ship or flight deck operations.</w:t>
      </w:r>
    </w:p>
    <w:p w14:paraId="3D8B605D" w14:textId="77777777" w:rsidR="00C9232E" w:rsidRPr="00AA7A47" w:rsidRDefault="00C9232E" w:rsidP="00C9232E">
      <w:pPr>
        <w:rPr>
          <w:rFonts w:eastAsia="Times New Roman" w:cs="Times New Roman"/>
          <w:noProof/>
          <w:color w:val="000000"/>
          <w:sz w:val="22"/>
        </w:rPr>
      </w:pPr>
    </w:p>
    <w:p w14:paraId="26FCB025" w14:textId="77777777"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The UAV Launch System must be simple enough in design to allow for sustained operations at high sortie generation rates (i.e., rapid and repeated launchings of multiple UAVs, with a goal of a UAV launch every two minutes), with high reliability and little maintenance down time for 24 hour/7 day surge periods. Details of the Launch System kit need to include all the necessary subsystems and interface components required to permit their rapid installation aboard the ESB. Control and operation of the Launch System will be from the hangar bay of the ESB. Adhere to all applicable environmental standards of the latest version of MIL-STD-810 [Ref 4], such as shock, vibration, electromagnetic interference/emission, etc.</w:t>
      </w:r>
    </w:p>
    <w:p w14:paraId="46FE458C" w14:textId="77777777" w:rsidR="00C9232E" w:rsidRPr="00AA7A47" w:rsidRDefault="00C9232E" w:rsidP="00C9232E">
      <w:pPr>
        <w:rPr>
          <w:rFonts w:eastAsia="Times New Roman" w:cs="Times New Roman"/>
          <w:noProof/>
          <w:color w:val="000000"/>
          <w:sz w:val="22"/>
        </w:rPr>
      </w:pPr>
    </w:p>
    <w:p w14:paraId="23BED7FD"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Work must be collaborative with NAVAIR and NAVSEA, to identify air-ship integration requirements, constraints, and compatibility between Group 3-5 UAVs and ESB.</w:t>
      </w:r>
    </w:p>
    <w:p w14:paraId="6B70CD5D" w14:textId="77777777" w:rsidR="00C9232E" w:rsidRPr="00AA7A47" w:rsidRDefault="00C9232E" w:rsidP="00C9232E">
      <w:pPr>
        <w:rPr>
          <w:rFonts w:eastAsia="Times New Roman" w:cs="Times New Roman"/>
          <w:color w:val="000000"/>
          <w:sz w:val="22"/>
        </w:rPr>
      </w:pPr>
    </w:p>
    <w:p w14:paraId="61835B6C"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 </w:t>
      </w:r>
      <w:r w:rsidRPr="00AA7A47">
        <w:rPr>
          <w:rFonts w:eastAsia="Times New Roman" w:cs="Times New Roman"/>
          <w:noProof/>
          <w:color w:val="000000"/>
          <w:sz w:val="22"/>
        </w:rPr>
        <w:t>Develop a proof-of-concept design to meet the Objective and details provided in the Description. Use a computer simulation tool, such as Solid Works, to provide analyses of the design features and projected operation of the Launch System and its major components. Provide schedule, technical challenges, and estimated ship alt costs. The Phase I effort will include prototype plans to be developed under Phase II.</w:t>
      </w:r>
    </w:p>
    <w:p w14:paraId="07573B25" w14:textId="77777777" w:rsidR="00C9232E" w:rsidRPr="00AA7A47" w:rsidRDefault="00C9232E" w:rsidP="00C9232E">
      <w:pPr>
        <w:rPr>
          <w:rFonts w:eastAsia="Times New Roman" w:cs="Times New Roman"/>
          <w:color w:val="000000"/>
          <w:sz w:val="22"/>
        </w:rPr>
      </w:pPr>
    </w:p>
    <w:p w14:paraId="3884A60D"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PHASE II: </w:t>
      </w:r>
      <w:r w:rsidRPr="00AA7A47">
        <w:rPr>
          <w:rFonts w:eastAsia="Times New Roman" w:cs="Times New Roman"/>
          <w:noProof/>
          <w:color w:val="000000"/>
          <w:sz w:val="22"/>
        </w:rPr>
        <w:t xml:space="preserve">Develop the design from Phase I further and provide an additional detailed digital analyses of all components of the proposed Launch System, including fit checks aboard an ESB (if appropriate, structural/mechanical/functional details on any sponson utilized in the design) and functional/operational simulations. Demonstrate a 1/8 scale prototype of the Launch System, with adequate representation of the </w:t>
      </w:r>
      <w:r w:rsidRPr="00AA7A47">
        <w:rPr>
          <w:rFonts w:eastAsia="Times New Roman" w:cs="Times New Roman"/>
          <w:noProof/>
          <w:color w:val="000000"/>
          <w:sz w:val="22"/>
        </w:rPr>
        <w:lastRenderedPageBreak/>
        <w:t>geometries and functioning major subsystems. Using a 100-pound UAV provided by the Government, conduct a ground demonstration of the prototype Launch System and report results.</w:t>
      </w:r>
    </w:p>
    <w:p w14:paraId="53E30F9F" w14:textId="77777777" w:rsidR="00C9232E" w:rsidRPr="00AA7A47" w:rsidRDefault="00C9232E" w:rsidP="00C9232E">
      <w:pPr>
        <w:rPr>
          <w:rFonts w:eastAsia="Times New Roman" w:cs="Times New Roman"/>
          <w:color w:val="000000"/>
          <w:sz w:val="22"/>
        </w:rPr>
      </w:pPr>
    </w:p>
    <w:p w14:paraId="48DB2ADE" w14:textId="77777777" w:rsidR="00C9232E" w:rsidRPr="00AA7A47" w:rsidRDefault="00C9232E" w:rsidP="00C9232E">
      <w:pPr>
        <w:rPr>
          <w:rFonts w:eastAsia="Times New Roman" w:cs="Times New Roman"/>
          <w:noProof/>
          <w:color w:val="000000"/>
          <w:sz w:val="22"/>
        </w:rPr>
      </w:pPr>
      <w:r w:rsidRPr="00AA7A47">
        <w:rPr>
          <w:rFonts w:eastAsia="Times New Roman" w:cs="Times New Roman"/>
          <w:color w:val="000000"/>
          <w:sz w:val="22"/>
        </w:rPr>
        <w:t xml:space="preserve">PHASE III DUAL USE APPLICATIONS: </w:t>
      </w:r>
      <w:r w:rsidRPr="00AA7A47">
        <w:rPr>
          <w:rFonts w:eastAsia="Times New Roman" w:cs="Times New Roman"/>
          <w:noProof/>
          <w:color w:val="000000"/>
          <w:sz w:val="22"/>
        </w:rPr>
        <w:t>Perform any final testing and transition complete Launch System kit(s) to Navy, Marine Corps, Air Force, and possibly some combatant commands (COCOMS) for full-scale ground testing of the technology involving Group 3-5 UAVs, and ultimate outfitting onto an ESB.</w:t>
      </w:r>
    </w:p>
    <w:p w14:paraId="1B0853E7" w14:textId="77777777" w:rsidR="00C9232E" w:rsidRPr="00AA7A47" w:rsidRDefault="00C9232E" w:rsidP="00C9232E">
      <w:pPr>
        <w:rPr>
          <w:rFonts w:eastAsia="Times New Roman" w:cs="Times New Roman"/>
          <w:noProof/>
          <w:color w:val="000000"/>
          <w:sz w:val="22"/>
        </w:rPr>
      </w:pPr>
    </w:p>
    <w:p w14:paraId="298782CF" w14:textId="77777777" w:rsidR="00C9232E" w:rsidRPr="00AA7A47" w:rsidRDefault="00C9232E" w:rsidP="00C9232E">
      <w:pPr>
        <w:rPr>
          <w:rFonts w:eastAsia="Times New Roman" w:cs="Times New Roman"/>
          <w:color w:val="000000"/>
          <w:sz w:val="22"/>
        </w:rPr>
      </w:pPr>
      <w:r w:rsidRPr="00AA7A47">
        <w:rPr>
          <w:rFonts w:eastAsia="Times New Roman" w:cs="Times New Roman"/>
          <w:noProof/>
          <w:color w:val="000000"/>
          <w:sz w:val="22"/>
        </w:rPr>
        <w:t>This type of technology could be useful for commercial UAV delivery systems in cities. The growing industry of aerial consumer package delivery could be profoundly impacted by advances in such UAV launch capabilities.</w:t>
      </w:r>
    </w:p>
    <w:p w14:paraId="4EB21A63" w14:textId="77777777" w:rsidR="00C9232E" w:rsidRPr="00AA7A47" w:rsidRDefault="00C9232E" w:rsidP="00C9232E">
      <w:pPr>
        <w:rPr>
          <w:rFonts w:eastAsia="Times New Roman" w:cs="Times New Roman"/>
          <w:color w:val="000000"/>
          <w:sz w:val="22"/>
        </w:rPr>
      </w:pPr>
    </w:p>
    <w:p w14:paraId="21AB23FB" w14:textId="77777777"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REFERENCES:</w:t>
      </w:r>
    </w:p>
    <w:p w14:paraId="3D9009C2" w14:textId="7E84E50B"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1. Shugart, T. Commander. “Build all-UAV Carriers.” USNI Proceedings, Vol. 143/9/1,375, September 2017. </w:t>
      </w:r>
      <w:hyperlink r:id="rId117" w:history="1">
        <w:r w:rsidR="001E50F9" w:rsidRPr="007743A7">
          <w:rPr>
            <w:rStyle w:val="Hyperlink"/>
            <w:rFonts w:eastAsia="Times New Roman" w:cs="Times New Roman"/>
            <w:noProof/>
            <w:sz w:val="22"/>
          </w:rPr>
          <w:t>https://www.usni.org/magazines/proceedings/2017/september/build-all-uav-carriers</w:t>
        </w:r>
      </w:hyperlink>
      <w:r w:rsidR="001E50F9">
        <w:rPr>
          <w:rFonts w:eastAsia="Times New Roman" w:cs="Times New Roman"/>
          <w:noProof/>
          <w:color w:val="000000"/>
          <w:sz w:val="22"/>
        </w:rPr>
        <w:t xml:space="preserve"> </w:t>
      </w:r>
    </w:p>
    <w:p w14:paraId="4D8C9560" w14:textId="77777777" w:rsidR="00712EA6" w:rsidRDefault="00712EA6" w:rsidP="00C9232E">
      <w:pPr>
        <w:rPr>
          <w:rFonts w:eastAsia="Times New Roman" w:cs="Times New Roman"/>
          <w:noProof/>
          <w:color w:val="000000"/>
          <w:sz w:val="22"/>
        </w:rPr>
      </w:pPr>
    </w:p>
    <w:p w14:paraId="59D32C72" w14:textId="4B142779"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2. Defense Industry Daily Staff. “EMALS/ AAG: Electro-Magnetic Launch &amp; Recovery for Carriers.” March 2019. </w:t>
      </w:r>
      <w:hyperlink r:id="rId118" w:history="1">
        <w:r w:rsidR="001E50F9" w:rsidRPr="007743A7">
          <w:rPr>
            <w:rStyle w:val="Hyperlink"/>
            <w:rFonts w:eastAsia="Times New Roman" w:cs="Times New Roman"/>
            <w:noProof/>
            <w:sz w:val="22"/>
          </w:rPr>
          <w:t>https://www.defenseindustrydaily.com/emals-electro-magnetic-launch-for-carriers-05220/</w:t>
        </w:r>
      </w:hyperlink>
      <w:r w:rsidR="001E50F9">
        <w:rPr>
          <w:rFonts w:eastAsia="Times New Roman" w:cs="Times New Roman"/>
          <w:noProof/>
          <w:color w:val="000000"/>
          <w:sz w:val="22"/>
        </w:rPr>
        <w:t xml:space="preserve"> </w:t>
      </w:r>
    </w:p>
    <w:p w14:paraId="57CA01FA" w14:textId="77777777" w:rsidR="00712EA6" w:rsidRDefault="00712EA6" w:rsidP="00C9232E">
      <w:pPr>
        <w:rPr>
          <w:rFonts w:eastAsia="Times New Roman" w:cs="Times New Roman"/>
          <w:noProof/>
          <w:color w:val="000000"/>
          <w:sz w:val="22"/>
        </w:rPr>
      </w:pPr>
    </w:p>
    <w:p w14:paraId="479E9049" w14:textId="7A702BD5" w:rsidR="00712EA6"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3. “Classification of the Unmanned Aerial Systems.”  Penn State Department of Geography, College of Earth and Mineral Sciences. </w:t>
      </w:r>
      <w:hyperlink r:id="rId119" w:history="1">
        <w:r w:rsidR="001E50F9" w:rsidRPr="007743A7">
          <w:rPr>
            <w:rStyle w:val="Hyperlink"/>
            <w:rFonts w:eastAsia="Times New Roman" w:cs="Times New Roman"/>
            <w:noProof/>
            <w:sz w:val="22"/>
          </w:rPr>
          <w:t>https://www.e-education.psu.edu/geog892/node/5</w:t>
        </w:r>
      </w:hyperlink>
      <w:r w:rsidR="001E50F9">
        <w:rPr>
          <w:rFonts w:eastAsia="Times New Roman" w:cs="Times New Roman"/>
          <w:noProof/>
          <w:color w:val="000000"/>
          <w:sz w:val="22"/>
        </w:rPr>
        <w:t xml:space="preserve"> </w:t>
      </w:r>
    </w:p>
    <w:p w14:paraId="35370091" w14:textId="77777777" w:rsidR="00712EA6" w:rsidRDefault="00712EA6" w:rsidP="00C9232E">
      <w:pPr>
        <w:rPr>
          <w:rFonts w:eastAsia="Times New Roman" w:cs="Times New Roman"/>
          <w:noProof/>
          <w:color w:val="000000"/>
          <w:sz w:val="22"/>
        </w:rPr>
      </w:pPr>
    </w:p>
    <w:p w14:paraId="155CEA82" w14:textId="062D9C4D"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4. “MIL-STD-810H, DEPARTMENT OF DEFENSE TEST METHOD STANDARD: ENVIRONMENTAL ENGINEERING CONSIDERATIONS AND LABORATORY TESTS (31-JAN-2019)” </w:t>
      </w:r>
      <w:hyperlink r:id="rId120" w:history="1">
        <w:r w:rsidR="001E50F9" w:rsidRPr="007743A7">
          <w:rPr>
            <w:rStyle w:val="Hyperlink"/>
            <w:rFonts w:eastAsia="Times New Roman" w:cs="Times New Roman"/>
            <w:noProof/>
            <w:sz w:val="22"/>
          </w:rPr>
          <w:t>http://everyspec.com/MIL-STD/MIL-STD-0800-0899/MIL-STD-810H_55998/</w:t>
        </w:r>
      </w:hyperlink>
      <w:r w:rsidR="001E50F9">
        <w:rPr>
          <w:rFonts w:eastAsia="Times New Roman" w:cs="Times New Roman"/>
          <w:noProof/>
          <w:color w:val="000000"/>
          <w:sz w:val="22"/>
        </w:rPr>
        <w:t xml:space="preserve"> </w:t>
      </w:r>
    </w:p>
    <w:p w14:paraId="64EB48AA" w14:textId="77777777" w:rsidR="00712EA6" w:rsidRDefault="00712EA6" w:rsidP="00C9232E">
      <w:pPr>
        <w:rPr>
          <w:rFonts w:eastAsia="Times New Roman" w:cs="Times New Roman"/>
          <w:noProof/>
          <w:color w:val="000000"/>
          <w:sz w:val="22"/>
        </w:rPr>
      </w:pPr>
    </w:p>
    <w:p w14:paraId="289D2F95" w14:textId="039BB024" w:rsidR="00C9232E" w:rsidRPr="00AA7A47" w:rsidRDefault="00C9232E" w:rsidP="00C9232E">
      <w:pPr>
        <w:rPr>
          <w:rFonts w:eastAsia="Times New Roman" w:cs="Times New Roman"/>
          <w:noProof/>
          <w:color w:val="000000"/>
          <w:sz w:val="22"/>
        </w:rPr>
      </w:pPr>
      <w:r w:rsidRPr="00AA7A47">
        <w:rPr>
          <w:rFonts w:eastAsia="Times New Roman" w:cs="Times New Roman"/>
          <w:noProof/>
          <w:color w:val="000000"/>
          <w:sz w:val="22"/>
        </w:rPr>
        <w:t xml:space="preserve">5. Staff Writer. “Kratos XQ-58 Valkyrie (XQ-222)” Unmanned Combat Aerial Vehicle (UCAV). Military Factory, March 2019. </w:t>
      </w:r>
      <w:hyperlink r:id="rId121" w:history="1">
        <w:r w:rsidR="001E50F9" w:rsidRPr="007743A7">
          <w:rPr>
            <w:rStyle w:val="Hyperlink"/>
            <w:rFonts w:eastAsia="Times New Roman" w:cs="Times New Roman"/>
            <w:noProof/>
            <w:sz w:val="22"/>
          </w:rPr>
          <w:t>https://www.militaryfactory.com/aircraft/detail.asp?aircraft_id=1755</w:t>
        </w:r>
      </w:hyperlink>
      <w:r w:rsidR="001E50F9">
        <w:rPr>
          <w:rFonts w:eastAsia="Times New Roman" w:cs="Times New Roman"/>
          <w:noProof/>
          <w:color w:val="000000"/>
          <w:sz w:val="22"/>
        </w:rPr>
        <w:t xml:space="preserve"> </w:t>
      </w:r>
    </w:p>
    <w:p w14:paraId="31371D01" w14:textId="77777777" w:rsidR="00C9232E" w:rsidRPr="00AA7A47" w:rsidRDefault="00C9232E" w:rsidP="00C9232E">
      <w:pPr>
        <w:rPr>
          <w:rFonts w:eastAsia="Times New Roman" w:cs="Times New Roman"/>
          <w:color w:val="000000"/>
          <w:sz w:val="22"/>
        </w:rPr>
      </w:pPr>
    </w:p>
    <w:p w14:paraId="2A6079D8" w14:textId="357BEF94" w:rsidR="00C9232E" w:rsidRPr="00AA7A47" w:rsidRDefault="00C9232E" w:rsidP="00C9232E">
      <w:pPr>
        <w:rPr>
          <w:rFonts w:eastAsia="Times New Roman" w:cs="Times New Roman"/>
          <w:color w:val="000000"/>
          <w:sz w:val="22"/>
        </w:rPr>
      </w:pPr>
      <w:r w:rsidRPr="00AA7A47">
        <w:rPr>
          <w:rFonts w:eastAsia="Times New Roman" w:cs="Times New Roman"/>
          <w:color w:val="000000"/>
          <w:sz w:val="22"/>
        </w:rPr>
        <w:t xml:space="preserve">KEYWORDS: </w:t>
      </w:r>
      <w:r w:rsidRPr="00AA7A47">
        <w:rPr>
          <w:rFonts w:eastAsia="Times New Roman" w:cs="Times New Roman"/>
          <w:noProof/>
          <w:color w:val="000000"/>
          <w:sz w:val="22"/>
        </w:rPr>
        <w:t>Unmanned Aerial Vehicle, UAV, Unmanned Aerial System, UAS, Expeditionary Sea Base, ESB, XQ-58A, Sponson, Group 3-5 UAV</w:t>
      </w:r>
      <w:r w:rsidR="001E50F9">
        <w:rPr>
          <w:rFonts w:eastAsia="Times New Roman" w:cs="Times New Roman"/>
          <w:noProof/>
          <w:color w:val="000000"/>
          <w:sz w:val="22"/>
        </w:rPr>
        <w:t xml:space="preserve"> </w:t>
      </w:r>
    </w:p>
    <w:p w14:paraId="522F1C13" w14:textId="77777777" w:rsidR="00C9232E" w:rsidRPr="00AA7A47" w:rsidRDefault="00C9232E" w:rsidP="00C9232E">
      <w:pPr>
        <w:rPr>
          <w:rFonts w:eastAsia="Times New Roman" w:cs="Times New Roman"/>
          <w:color w:val="000000"/>
          <w:sz w:val="22"/>
        </w:rPr>
      </w:pPr>
    </w:p>
    <w:p w14:paraId="6237BBAD" w14:textId="77777777" w:rsidR="00C9232E" w:rsidRPr="00AA7A47" w:rsidRDefault="00C9232E" w:rsidP="00C9232E">
      <w:pPr>
        <w:tabs>
          <w:tab w:val="left" w:pos="1260"/>
        </w:tabs>
        <w:ind w:left="270"/>
        <w:rPr>
          <w:rFonts w:eastAsia="Times New Roman" w:cs="Times New Roman"/>
          <w:color w:val="000000"/>
          <w:sz w:val="22"/>
        </w:rPr>
      </w:pPr>
    </w:p>
    <w:p w14:paraId="0F27D0E4" w14:textId="77777777" w:rsidR="00C9232E" w:rsidRPr="00AA7A47" w:rsidRDefault="00C9232E" w:rsidP="00C9232E">
      <w:pPr>
        <w:tabs>
          <w:tab w:val="left" w:pos="1260"/>
        </w:tabs>
        <w:ind w:left="270"/>
        <w:rPr>
          <w:rFonts w:eastAsia="Times New Roman" w:cs="Times New Roman"/>
          <w:color w:val="000000"/>
          <w:sz w:val="22"/>
        </w:rPr>
      </w:pPr>
    </w:p>
    <w:p w14:paraId="058563AB" w14:textId="77777777" w:rsidR="00C9232E" w:rsidRPr="00D0206E" w:rsidRDefault="00C9232E" w:rsidP="00C9232E">
      <w:pPr>
        <w:tabs>
          <w:tab w:val="left" w:pos="1260"/>
        </w:tabs>
        <w:ind w:left="270"/>
        <w:rPr>
          <w:rFonts w:eastAsia="Times New Roman" w:cs="Times New Roman"/>
          <w:color w:val="000000"/>
          <w:sz w:val="22"/>
        </w:rPr>
      </w:pPr>
    </w:p>
    <w:p w14:paraId="694D4A5F" w14:textId="77777777" w:rsidR="00C9232E" w:rsidRPr="00D0206E" w:rsidRDefault="00C9232E" w:rsidP="00C9232E">
      <w:pPr>
        <w:rPr>
          <w:rFonts w:eastAsia="Times New Roman" w:cs="Times New Roman"/>
          <w:color w:val="000000"/>
          <w:sz w:val="22"/>
        </w:rPr>
      </w:pPr>
    </w:p>
    <w:p w14:paraId="552B01A4" w14:textId="77777777" w:rsidR="00C9232E" w:rsidRPr="00D0206E" w:rsidRDefault="00C9232E" w:rsidP="00C9232E">
      <w:pPr>
        <w:rPr>
          <w:rFonts w:eastAsia="Times New Roman" w:cs="Times New Roman"/>
          <w:color w:val="000000"/>
          <w:sz w:val="22"/>
        </w:rPr>
      </w:pPr>
    </w:p>
    <w:p w14:paraId="6DEAD654"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652D47FA"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N202-110</w:t>
      </w:r>
      <w:r w:rsidRPr="00D0206E">
        <w:rPr>
          <w:rFonts w:eastAsia="Times New Roman" w:cs="Times New Roman"/>
          <w:color w:val="000000"/>
          <w:sz w:val="22"/>
        </w:rPr>
        <w:tab/>
        <w:t xml:space="preserve">TITLE: </w:t>
      </w:r>
      <w:r w:rsidRPr="00D0206E">
        <w:rPr>
          <w:rFonts w:eastAsia="Times New Roman" w:cs="Times New Roman"/>
          <w:noProof/>
          <w:color w:val="000000"/>
          <w:sz w:val="22"/>
        </w:rPr>
        <w:t>Miniature 360-degree Multispectral/Hyperspectral Staring Imaging System</w:t>
      </w:r>
    </w:p>
    <w:p w14:paraId="152F3E94" w14:textId="77777777" w:rsidR="00C9232E" w:rsidRPr="00D0206E" w:rsidRDefault="00C9232E" w:rsidP="00C9232E">
      <w:pPr>
        <w:rPr>
          <w:rFonts w:eastAsia="Times New Roman" w:cs="Times New Roman"/>
          <w:color w:val="000000"/>
          <w:sz w:val="22"/>
        </w:rPr>
      </w:pPr>
    </w:p>
    <w:p w14:paraId="508077C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6B80CA9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Battlespace</w:t>
      </w:r>
    </w:p>
    <w:p w14:paraId="46E9CC64" w14:textId="77777777" w:rsidR="00C9232E" w:rsidRPr="00D0206E" w:rsidRDefault="00C9232E" w:rsidP="00C9232E">
      <w:pPr>
        <w:rPr>
          <w:rFonts w:eastAsia="Times New Roman" w:cs="Times New Roman"/>
          <w:color w:val="000000"/>
          <w:sz w:val="22"/>
        </w:rPr>
      </w:pPr>
    </w:p>
    <w:p w14:paraId="1252ECC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252369C" w14:textId="77777777" w:rsidR="00C9232E" w:rsidRPr="00D0206E" w:rsidRDefault="00C9232E" w:rsidP="00C9232E">
      <w:pPr>
        <w:rPr>
          <w:rFonts w:eastAsia="Times New Roman" w:cs="Times New Roman"/>
          <w:color w:val="000000"/>
          <w:sz w:val="22"/>
        </w:rPr>
      </w:pPr>
    </w:p>
    <w:p w14:paraId="7705A78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miniature 360-degree Multispectral/Hyperspectral staring imaging system with discriminate classification capabilities for use on Navy manned and unmanned aircraft.</w:t>
      </w:r>
    </w:p>
    <w:p w14:paraId="2EF7FFD8" w14:textId="77777777" w:rsidR="00C9232E" w:rsidRPr="00D0206E" w:rsidRDefault="00C9232E" w:rsidP="00C9232E">
      <w:pPr>
        <w:rPr>
          <w:rFonts w:eastAsia="Times New Roman" w:cs="Times New Roman"/>
          <w:color w:val="000000"/>
          <w:sz w:val="22"/>
        </w:rPr>
      </w:pPr>
    </w:p>
    <w:p w14:paraId="7B1EBE3B"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U.S. Navy manned and unmanned aircraft platforms have a need for 4p steradian coverage for situational awareness while performing their required missions. In addition, airborne surveillance systems need to meet multiple mission requirements for automatic detection, track, and identification of a variety of objects to include aircraft, missiles, and obstructions hazardous to flight. There is a need for reduced size multispectral/hyperspectral imaging to provide a capability to conduct search, detection, classification, localization, tracking, and attack of surface ships and surfaced submarines in both clear and adverse weather, and in both the littoral and blue water environments. Small target examples are anti-aircraft missiles, Tier 1 Unmanned Aerial Systems (UAS), patrol craft, and submarines. Systems that are integrated onto airborne platforms need to meet stringent requirements for size, weight, power, and cost (SWaP-C); as well as aircraft requirements for environmental conditions such as vibration, shock, heat, altitude, etc. These requirements vary from aircraft to aircraft, but hold a common theme of reduced SWaP-C sensors to meet a number of aircraft requirements. The initial platform requirements will include the P-8A and MQ-4C platforms. The P-8A and MQ-4C will provide air defense capabilities to defend, identify, classify and track air targets and threats to the aircraft. In addition, the aircraft conducts Search and Rescue (SAR) missions. Current system concepts, such as large pods, are normally single purpose and impact mission performance by excessive SWaP-C that limits on-station time by increased drag counts and negative impacts to fuel consumption.</w:t>
      </w:r>
    </w:p>
    <w:p w14:paraId="6574E98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5130937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multispectral/hyperspectral imaging system should provide 4p steradian coverage. The SWaP should be limited to approximately 100 pounds, total volume of 2 cubic feet, and have less than 500 Watts of input power required. Aircraft power requirements in accordance with MIL-STD-704 and MIL-STD-461 should be taken into consideration. Cost should be less than $300K per unit as manufactured. Aircraft environmental conditions in accordance with MIL-STD-810 should be taken into consideration. The sensors need to be external to the aircraft and be low drag as to not increase fuel consumption by more than 1%.   </w:t>
      </w:r>
    </w:p>
    <w:p w14:paraId="4F966D36" w14:textId="77777777" w:rsidR="00C9232E" w:rsidRPr="00D0206E" w:rsidRDefault="00C9232E" w:rsidP="00C9232E">
      <w:pPr>
        <w:rPr>
          <w:rFonts w:eastAsia="Times New Roman" w:cs="Times New Roman"/>
          <w:noProof/>
          <w:color w:val="000000"/>
          <w:sz w:val="22"/>
        </w:rPr>
      </w:pPr>
    </w:p>
    <w:p w14:paraId="58E88BCE"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w:t>
      </w:r>
      <w:r w:rsidRPr="00D0206E">
        <w:rPr>
          <w:rFonts w:eastAsia="Times New Roman" w:cs="Times New Roman"/>
          <w:noProof/>
          <w:color w:val="000000"/>
          <w:sz w:val="22"/>
        </w:rPr>
        <w:lastRenderedPageBreak/>
        <w:t>required to safeguard classified material IAW DoD 5220.22-M during the advanced phases of this contract.</w:t>
      </w:r>
    </w:p>
    <w:p w14:paraId="6C4839D8" w14:textId="77777777" w:rsidR="00C9232E" w:rsidRPr="00D0206E" w:rsidRDefault="00C9232E" w:rsidP="00C9232E">
      <w:pPr>
        <w:rPr>
          <w:rFonts w:eastAsia="Times New Roman" w:cs="Times New Roman"/>
          <w:color w:val="000000"/>
          <w:sz w:val="22"/>
        </w:rPr>
      </w:pPr>
    </w:p>
    <w:p w14:paraId="29E015C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 concept of a miniature spectral imaging digital system that can automatically search for air, surface targets and launch transients in littoral and blue water operations. The system should be able to automatically detect and classify multiple targets and provide threat warnings for 4p steradian coverage. The Phase I effort will include prototype plans to be developed under Phase II.</w:t>
      </w:r>
    </w:p>
    <w:p w14:paraId="14AFFB9D" w14:textId="77777777" w:rsidR="00C9232E" w:rsidRPr="00D0206E" w:rsidRDefault="00C9232E" w:rsidP="00C9232E">
      <w:pPr>
        <w:rPr>
          <w:rFonts w:eastAsia="Times New Roman" w:cs="Times New Roman"/>
          <w:color w:val="000000"/>
          <w:sz w:val="22"/>
        </w:rPr>
      </w:pPr>
    </w:p>
    <w:p w14:paraId="3E546FBB"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Further refine the architecture and algorithms developed in Phase I and develop a working prototype to include high-level surveillance requirements for automatic detection, tracking, and identification over 4p steradians of aircraft, missiles and flight obstructions, software development, initial system testing, and a lab or ground-based demonstration.</w:t>
      </w:r>
    </w:p>
    <w:p w14:paraId="484F2D87" w14:textId="77777777" w:rsidR="00C9232E" w:rsidRPr="00D0206E" w:rsidRDefault="00C9232E" w:rsidP="00C9232E">
      <w:pPr>
        <w:rPr>
          <w:rFonts w:eastAsia="Times New Roman" w:cs="Times New Roman"/>
          <w:noProof/>
          <w:color w:val="000000"/>
          <w:sz w:val="22"/>
        </w:rPr>
      </w:pPr>
    </w:p>
    <w:p w14:paraId="209270A8"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2CF8A3FD" w14:textId="77777777" w:rsidR="00C9232E" w:rsidRPr="00D0206E" w:rsidRDefault="00C9232E" w:rsidP="00C9232E">
      <w:pPr>
        <w:rPr>
          <w:rFonts w:eastAsia="Times New Roman" w:cs="Times New Roman"/>
          <w:color w:val="000000"/>
          <w:sz w:val="22"/>
        </w:rPr>
      </w:pPr>
    </w:p>
    <w:p w14:paraId="59B7FB4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Perform final testing and transition the developed technology to appropriate Navy manned and unmanned aircraft platforms. Hyperspectral sensing has a multitude of application in commercial remote sensing. These include commercial aircraft and ground vehicle surveillance for collision avoidance, manufacturing safety systems, and inspection and surveillance systems.</w:t>
      </w:r>
    </w:p>
    <w:p w14:paraId="022F8885" w14:textId="77777777" w:rsidR="00C9232E" w:rsidRPr="00D0206E" w:rsidRDefault="00C9232E" w:rsidP="00C9232E">
      <w:pPr>
        <w:rPr>
          <w:rFonts w:eastAsia="Times New Roman" w:cs="Times New Roman"/>
          <w:color w:val="000000"/>
          <w:sz w:val="22"/>
        </w:rPr>
      </w:pPr>
    </w:p>
    <w:p w14:paraId="749512D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60152C6" w14:textId="496EA9F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Stein, D., Schoonmaker, J., and Coolbaugh, E. “Hyperspectral Imaging for Intelligence, Surveillance, and Reconnaissance.” SSC San Diego, Aug 2001. </w:t>
      </w:r>
      <w:hyperlink r:id="rId122" w:history="1">
        <w:r w:rsidR="001E50F9" w:rsidRPr="007743A7">
          <w:rPr>
            <w:rStyle w:val="Hyperlink"/>
            <w:rFonts w:eastAsia="Times New Roman" w:cs="Times New Roman"/>
            <w:noProof/>
            <w:sz w:val="22"/>
          </w:rPr>
          <w:t>https://apps.dtic.mil/dtic/tr/fulltext/u2/a434124.pdf</w:t>
        </w:r>
      </w:hyperlink>
      <w:r w:rsidR="001E50F9">
        <w:rPr>
          <w:rFonts w:eastAsia="Times New Roman" w:cs="Times New Roman"/>
          <w:noProof/>
          <w:color w:val="000000"/>
          <w:sz w:val="22"/>
        </w:rPr>
        <w:t xml:space="preserve"> </w:t>
      </w:r>
    </w:p>
    <w:p w14:paraId="565B93AB" w14:textId="77777777" w:rsidR="00712EA6" w:rsidRDefault="00712EA6" w:rsidP="00C9232E">
      <w:pPr>
        <w:rPr>
          <w:rFonts w:eastAsia="Times New Roman" w:cs="Times New Roman"/>
          <w:noProof/>
          <w:color w:val="000000"/>
          <w:sz w:val="22"/>
        </w:rPr>
      </w:pPr>
    </w:p>
    <w:p w14:paraId="4BD14009" w14:textId="4EB4ECA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Anderson, R.C., Malila, W., Maxwell, R. &amp; Reed, L.K. “Military Utility of Multispectral and Hyperspectral Sensors.” Infrared Information Analysis Center Environmental Research Institute of Michigan, November 1994. </w:t>
      </w:r>
      <w:hyperlink r:id="rId123" w:history="1">
        <w:r w:rsidR="001E50F9" w:rsidRPr="007743A7">
          <w:rPr>
            <w:rStyle w:val="Hyperlink"/>
            <w:rFonts w:eastAsia="Times New Roman" w:cs="Times New Roman"/>
            <w:noProof/>
            <w:sz w:val="22"/>
          </w:rPr>
          <w:t>https://apps.dtic.mil/dtic/tr/fulltext/u2/a325724.pdf</w:t>
        </w:r>
      </w:hyperlink>
      <w:r w:rsidR="001E50F9">
        <w:rPr>
          <w:rFonts w:eastAsia="Times New Roman" w:cs="Times New Roman"/>
          <w:noProof/>
          <w:color w:val="000000"/>
          <w:sz w:val="22"/>
        </w:rPr>
        <w:t xml:space="preserve"> </w:t>
      </w:r>
    </w:p>
    <w:p w14:paraId="466F1971" w14:textId="77777777" w:rsidR="00712EA6" w:rsidRDefault="00712EA6" w:rsidP="00C9232E">
      <w:pPr>
        <w:rPr>
          <w:rFonts w:eastAsia="Times New Roman" w:cs="Times New Roman"/>
          <w:noProof/>
          <w:color w:val="000000"/>
          <w:sz w:val="22"/>
        </w:rPr>
      </w:pPr>
    </w:p>
    <w:p w14:paraId="5AA82244" w14:textId="367A4327" w:rsidR="00712EA6"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Wang, Z., Nasrabadi, N.M. &amp; Huang, T.S. “Discriminative and compact dictionary design for Hyperspectral Image classification using learning VQ framework.” 2013 IEEE International Conference on Acoustics, Speech and Signal Processing, pp. 3427-3431. </w:t>
      </w:r>
      <w:hyperlink r:id="rId124" w:history="1">
        <w:r w:rsidR="001E50F9" w:rsidRPr="007743A7">
          <w:rPr>
            <w:rStyle w:val="Hyperlink"/>
            <w:rFonts w:eastAsia="Times New Roman" w:cs="Times New Roman"/>
            <w:noProof/>
            <w:sz w:val="22"/>
          </w:rPr>
          <w:t>https://ieeexplore.ieee.org/document/6638294</w:t>
        </w:r>
      </w:hyperlink>
      <w:r w:rsidR="001E50F9">
        <w:rPr>
          <w:rFonts w:eastAsia="Times New Roman" w:cs="Times New Roman"/>
          <w:noProof/>
          <w:color w:val="000000"/>
          <w:sz w:val="22"/>
        </w:rPr>
        <w:t xml:space="preserve"> </w:t>
      </w:r>
    </w:p>
    <w:p w14:paraId="3562891F" w14:textId="77777777" w:rsidR="00712EA6" w:rsidRDefault="00712EA6" w:rsidP="00C9232E">
      <w:pPr>
        <w:rPr>
          <w:rFonts w:eastAsia="Times New Roman" w:cs="Times New Roman"/>
          <w:noProof/>
          <w:color w:val="000000"/>
          <w:sz w:val="22"/>
        </w:rPr>
      </w:pPr>
    </w:p>
    <w:p w14:paraId="35926566" w14:textId="29786C2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“MIL-STD-810H, DEPARTMENT OF DEFENSE TEST METHOD STANDARD: ENVIRONMENTAL ENGINEERING CONSIDERATIONS AND LABORATORY TESTS (31-JAN-2019).” </w:t>
      </w:r>
      <w:hyperlink r:id="rId125" w:history="1">
        <w:r w:rsidR="001E50F9" w:rsidRPr="007743A7">
          <w:rPr>
            <w:rStyle w:val="Hyperlink"/>
            <w:rFonts w:eastAsia="Times New Roman" w:cs="Times New Roman"/>
            <w:noProof/>
            <w:sz w:val="22"/>
          </w:rPr>
          <w:t>http://everyspec.com/MIL-STD/MIL-STD-0800-0899/MIL-STD-810H_55998/</w:t>
        </w:r>
      </w:hyperlink>
      <w:r w:rsidR="001E50F9">
        <w:rPr>
          <w:rFonts w:eastAsia="Times New Roman" w:cs="Times New Roman"/>
          <w:noProof/>
          <w:color w:val="000000"/>
          <w:sz w:val="22"/>
        </w:rPr>
        <w:t xml:space="preserve"> </w:t>
      </w:r>
    </w:p>
    <w:p w14:paraId="4F5E2F7B" w14:textId="77777777" w:rsidR="00712EA6" w:rsidRDefault="00712EA6" w:rsidP="00C9232E">
      <w:pPr>
        <w:rPr>
          <w:rFonts w:eastAsia="Times New Roman" w:cs="Times New Roman"/>
          <w:noProof/>
          <w:color w:val="000000"/>
          <w:sz w:val="22"/>
        </w:rPr>
      </w:pPr>
    </w:p>
    <w:p w14:paraId="05C56A7E" w14:textId="64DEFCB9" w:rsidR="00712EA6"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“MIL-STD-704F, DEPARTMENT OF DEFENSE INTERFACE STANDARD: AIRCRAFT ELECTRIC POWER CHARACTERISTICS (12 MAR 2004).” </w:t>
      </w:r>
      <w:hyperlink r:id="rId126" w:history="1">
        <w:r w:rsidR="001E50F9" w:rsidRPr="007743A7">
          <w:rPr>
            <w:rStyle w:val="Hyperlink"/>
            <w:rFonts w:eastAsia="Times New Roman" w:cs="Times New Roman"/>
            <w:noProof/>
            <w:sz w:val="22"/>
          </w:rPr>
          <w:t>http://everyspec.com/MIL-STD/MIL-STD-0700-0799/MIL-STD-704F_1083/</w:t>
        </w:r>
      </w:hyperlink>
      <w:r w:rsidR="001E50F9">
        <w:rPr>
          <w:rFonts w:eastAsia="Times New Roman" w:cs="Times New Roman"/>
          <w:noProof/>
          <w:color w:val="000000"/>
          <w:sz w:val="22"/>
        </w:rPr>
        <w:t xml:space="preserve"> </w:t>
      </w:r>
    </w:p>
    <w:p w14:paraId="6AD43CB5" w14:textId="77777777" w:rsidR="00712EA6" w:rsidRDefault="00712EA6" w:rsidP="00C9232E">
      <w:pPr>
        <w:rPr>
          <w:rFonts w:eastAsia="Times New Roman" w:cs="Times New Roman"/>
          <w:noProof/>
          <w:color w:val="000000"/>
          <w:sz w:val="22"/>
        </w:rPr>
      </w:pPr>
    </w:p>
    <w:p w14:paraId="4C48C283" w14:textId="71C548D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6. “MIL-STD-461G, DEPARTMENT OF DEFENSE INTERFACE STANDARD: REQUIREMENTS FOR THE CONTROL OF ELECTROMAGNETIC INTERFERENCE CHARACTERISTICS OF SUBSYSTEMS AND EQUIPMENT (11-DEC-2015).” </w:t>
      </w:r>
      <w:hyperlink r:id="rId127" w:history="1">
        <w:r w:rsidR="001E50F9" w:rsidRPr="007743A7">
          <w:rPr>
            <w:rStyle w:val="Hyperlink"/>
            <w:rFonts w:eastAsia="Times New Roman" w:cs="Times New Roman"/>
            <w:noProof/>
            <w:sz w:val="22"/>
          </w:rPr>
          <w:t>http://everyspec.com/MIL-STD/MIL-STD-0300-0499/MIL-STD-461G_53571/</w:t>
        </w:r>
      </w:hyperlink>
      <w:r w:rsidR="001E50F9">
        <w:rPr>
          <w:rFonts w:eastAsia="Times New Roman" w:cs="Times New Roman"/>
          <w:noProof/>
          <w:color w:val="000000"/>
          <w:sz w:val="22"/>
        </w:rPr>
        <w:t xml:space="preserve"> </w:t>
      </w:r>
    </w:p>
    <w:p w14:paraId="1E5AE7DF" w14:textId="77777777" w:rsidR="00C9232E" w:rsidRPr="00D0206E" w:rsidRDefault="00C9232E" w:rsidP="00C9232E">
      <w:pPr>
        <w:rPr>
          <w:rFonts w:eastAsia="Times New Roman" w:cs="Times New Roman"/>
          <w:color w:val="000000"/>
          <w:sz w:val="22"/>
        </w:rPr>
      </w:pPr>
    </w:p>
    <w:p w14:paraId="207E060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Multispectral, Hyperspectral, Remote Sensing, Optics, Imaging, Surveillance</w:t>
      </w:r>
    </w:p>
    <w:p w14:paraId="1DBA9809" w14:textId="77777777" w:rsidR="00C9232E" w:rsidRPr="00D0206E" w:rsidRDefault="00C9232E" w:rsidP="00C9232E">
      <w:pPr>
        <w:rPr>
          <w:rFonts w:eastAsia="Times New Roman" w:cs="Times New Roman"/>
          <w:color w:val="000000"/>
          <w:sz w:val="22"/>
        </w:rPr>
      </w:pPr>
    </w:p>
    <w:p w14:paraId="4413E956"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4AEB70D7"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N202-111</w:t>
      </w:r>
      <w:r w:rsidRPr="00D0206E">
        <w:rPr>
          <w:rFonts w:eastAsia="Times New Roman" w:cs="Times New Roman"/>
          <w:color w:val="000000"/>
          <w:sz w:val="22"/>
        </w:rPr>
        <w:tab/>
        <w:t xml:space="preserve">TITLE: </w:t>
      </w:r>
      <w:r w:rsidRPr="00D0206E">
        <w:rPr>
          <w:rFonts w:eastAsia="Times New Roman" w:cs="Times New Roman"/>
          <w:noProof/>
          <w:color w:val="000000"/>
          <w:sz w:val="22"/>
        </w:rPr>
        <w:t>Desktop Tactics Trainer for Maritime Patrol Aircraft</w:t>
      </w:r>
    </w:p>
    <w:p w14:paraId="4554D7D3" w14:textId="77777777" w:rsidR="00C9232E" w:rsidRPr="00D0206E" w:rsidRDefault="00C9232E" w:rsidP="00C9232E">
      <w:pPr>
        <w:rPr>
          <w:rFonts w:eastAsia="Times New Roman" w:cs="Times New Roman"/>
          <w:color w:val="000000"/>
          <w:sz w:val="22"/>
        </w:rPr>
      </w:pPr>
    </w:p>
    <w:p w14:paraId="62E88CD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0E6F45F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Human Systems</w:t>
      </w:r>
    </w:p>
    <w:p w14:paraId="5DDB9088" w14:textId="77777777" w:rsidR="00C9232E" w:rsidRPr="00D0206E" w:rsidRDefault="00C9232E" w:rsidP="00C9232E">
      <w:pPr>
        <w:rPr>
          <w:rFonts w:eastAsia="Times New Roman" w:cs="Times New Roman"/>
          <w:noProof/>
          <w:color w:val="000000"/>
          <w:sz w:val="22"/>
        </w:rPr>
      </w:pPr>
    </w:p>
    <w:p w14:paraId="4B44AB0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4618ABA" w14:textId="77777777" w:rsidR="00C9232E" w:rsidRPr="00D0206E" w:rsidRDefault="00C9232E" w:rsidP="00C9232E">
      <w:pPr>
        <w:rPr>
          <w:rFonts w:eastAsia="Times New Roman" w:cs="Times New Roman"/>
          <w:color w:val="000000"/>
          <w:sz w:val="22"/>
        </w:rPr>
      </w:pPr>
    </w:p>
    <w:p w14:paraId="4D13C5F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desktop trainer with a low-cost, computer-based, simulated environment where students can practice tactics learned in advance of discussions, simulator events, and flight events.</w:t>
      </w:r>
    </w:p>
    <w:p w14:paraId="0A9F01CF" w14:textId="77777777" w:rsidR="00C9232E" w:rsidRPr="00D0206E" w:rsidRDefault="00C9232E" w:rsidP="00C9232E">
      <w:pPr>
        <w:rPr>
          <w:rFonts w:eastAsia="Times New Roman" w:cs="Times New Roman"/>
          <w:color w:val="000000"/>
          <w:sz w:val="22"/>
        </w:rPr>
      </w:pPr>
    </w:p>
    <w:p w14:paraId="11150A97"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Fleet Naval Flight Officers (NFOs) in the Maritime Patrol community are trained to: 1) conduct anti-submarine warfare first, 2) conduct intelligence, surveillance, and reconnaissance always, and 3) conduct anti-surface warfare, if needed. They use the multi-mission aircraft platform to accomplish these missions. The aircrew consist of multiple personnel (both enlisted and officers) operating a multitude of sensors. Using their training, and the complex yet effective aircraft, they are tasked with finding and tracking submarines and ships in the world’s oceans. </w:t>
      </w:r>
    </w:p>
    <w:p w14:paraId="6F43F2A8" w14:textId="77777777" w:rsidR="00C9232E" w:rsidRPr="00D0206E" w:rsidRDefault="00C9232E" w:rsidP="00C9232E">
      <w:pPr>
        <w:rPr>
          <w:rFonts w:eastAsia="Times New Roman" w:cs="Times New Roman"/>
          <w:noProof/>
          <w:color w:val="000000"/>
          <w:sz w:val="22"/>
        </w:rPr>
      </w:pPr>
    </w:p>
    <w:p w14:paraId="1CC112E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Current students work through a syllabus comprised of verbal knowledge discussion and quizzes, simulators, and flight events. Currently fleet students (upgraders) do not have any tool that allows them to try-out and practice learned tactics in a simulated environment without scheduling highly limited and valuable time in a multi-million-dollar simulator. This SBIR topic seeks to fill the gap between learning tactics from a book, and utilizing those tactics in a simulator event by providing a low-cost, computer based, simulated environment where students can try out what they learned and practice tactics in advance of discussions, as well as simulator and flight events. Low cost should be considered as a solution that is capable of running on a typical mid-range Windows computer (laptop or desktop), typical of what most training centers have organic to their building. By providing an additional "learn on your own" simulation tool, students can increase their knowledgebase before an event, and decrease the likelihood of event failure, maximizing the value of expensive crew simulator events, both in effectiveness and efficiency. The ultimate result of a basic computer-based simulation tool will be trainees who are more highly qualified at the end of their training, making them more ready and able to perform tasks. </w:t>
      </w:r>
    </w:p>
    <w:p w14:paraId="35FE720C" w14:textId="77777777" w:rsidR="00C9232E" w:rsidRPr="00D0206E" w:rsidRDefault="00C9232E" w:rsidP="00C9232E">
      <w:pPr>
        <w:rPr>
          <w:rFonts w:eastAsia="Times New Roman" w:cs="Times New Roman"/>
          <w:noProof/>
          <w:color w:val="000000"/>
          <w:sz w:val="22"/>
        </w:rPr>
      </w:pPr>
    </w:p>
    <w:p w14:paraId="7D69F93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job is a difficult one and although the crew has a capable aircraft, they need to be proficient in their roles making the most use of the maritime platform. Although crewmembers conduct training flights and their qualifications primarily in live flights, they maintain a strong reliance on various training devices, as real ships and submarines are typically not available to train maritime aircraft crews. Additionally, when given real surface and subsurface platforms to train with, they are U.S. or allied friendly force units. Training against real-world adversaries would provide a higher fidelity of learning.</w:t>
      </w:r>
    </w:p>
    <w:p w14:paraId="6589CDE6" w14:textId="77777777" w:rsidR="00C9232E" w:rsidRPr="00D0206E" w:rsidRDefault="00C9232E" w:rsidP="00C9232E">
      <w:pPr>
        <w:rPr>
          <w:rFonts w:eastAsia="Times New Roman" w:cs="Times New Roman"/>
          <w:noProof/>
          <w:color w:val="000000"/>
          <w:sz w:val="22"/>
        </w:rPr>
      </w:pPr>
    </w:p>
    <w:p w14:paraId="72ACEF8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 computer-based tactics trainer is a cost-efficient and effective way to provide hands on tactics training on demand to NFOs in training, or as a means to maintain knowledge, skills, and abilities overtime. The idea of the computer-based tactics trainer was a Fleet born idea, specifically to address the eagerness of crewmembers to apply their classroom training in a practical way, and on their own time, rather than waiting for the next scheduled part-task trainer (PTT) or weapon tactics trainer (WTT) simulator event. The computer-based tactics trainer would allow them to load up a myriad of relevant pre-built scenarios, </w:t>
      </w:r>
      <w:r w:rsidRPr="00D0206E">
        <w:rPr>
          <w:rFonts w:eastAsia="Times New Roman" w:cs="Times New Roman"/>
          <w:noProof/>
          <w:color w:val="000000"/>
          <w:sz w:val="22"/>
        </w:rPr>
        <w:lastRenderedPageBreak/>
        <w:t>or create their own, to practice the tactical and decision-making aspect of prosecuting subsurface (or surface) entities. At first, this capability would look to replicate the Tactical Coordinator’s (TACCOs) role, as mission commander. These NFOs receive inputs from the various sensor feeds and fellow crewmembers and compile the information to formulate a plan. The tactics trainer would then let the TACCO in training implement different tactics against the same target and see how each might turn out. Due to the tactical nature of the trainer, the trainee will need to see realistic outcomes and information from his or her inputs and actions. Through this, trainees that would like to practice their lessons to mastery, or close to it, can sit down at a standard computer, likely within the training center, load the computer-based tactics trainer, and run through scenario after scenario when they have time to do so. There are likely a few ways to accomplish the same goal when conducting a mission and the tactics trainer is the gateway to open those possibilities to a creative TACCO. The trainee can then try to implement their more effective tactics, techniques, and procedures once he or she gets to the high-fidelity simulator events with the rest of a crew. The tactics trainer can build confidence in new trainees, maintain Knowledge, Skills and Abilities (KSAs) of current crew members, and enable NFOs to use their valuable full simulator time in the most effective way.</w:t>
      </w:r>
    </w:p>
    <w:p w14:paraId="6F6F1637" w14:textId="77777777" w:rsidR="00C9232E" w:rsidRPr="00D0206E" w:rsidRDefault="00C9232E" w:rsidP="00C9232E">
      <w:pPr>
        <w:rPr>
          <w:rFonts w:eastAsia="Times New Roman" w:cs="Times New Roman"/>
          <w:noProof/>
          <w:color w:val="000000"/>
          <w:sz w:val="22"/>
        </w:rPr>
      </w:pPr>
    </w:p>
    <w:p w14:paraId="13B4311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Ensure Risk Management Framework (RMF) and Information Assurance (IA) guidelines [Ref 5] are considered during early software development to ensure future compliance.</w:t>
      </w:r>
    </w:p>
    <w:p w14:paraId="02CC3BF7" w14:textId="77777777" w:rsidR="00C9232E" w:rsidRPr="00D0206E" w:rsidRDefault="00C9232E" w:rsidP="00C9232E">
      <w:pPr>
        <w:rPr>
          <w:rFonts w:eastAsia="Times New Roman" w:cs="Times New Roman"/>
          <w:noProof/>
          <w:color w:val="000000"/>
          <w:sz w:val="22"/>
        </w:rPr>
      </w:pPr>
    </w:p>
    <w:p w14:paraId="702528D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C9C2C66" w14:textId="77777777" w:rsidR="00C9232E" w:rsidRPr="00D0206E" w:rsidRDefault="00C9232E" w:rsidP="00C9232E">
      <w:pPr>
        <w:rPr>
          <w:rFonts w:eastAsia="Times New Roman" w:cs="Times New Roman"/>
          <w:color w:val="000000"/>
          <w:sz w:val="22"/>
        </w:rPr>
      </w:pPr>
    </w:p>
    <w:p w14:paraId="6E603EA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and develop an innovative approach for a computer-based tactical trainer in the maritime patrol domain, or a similar domain for feasibility demonstration. All initial demonstrations will use publicly available data during Phase I. Demonstrate the feasibility of the proposed approach to be further developed in Phase II. Consider RMF and IA guidelines [Ref 5] during early software development to ensure future compliance. The Phase I effort will include prototype plans to be developed under Phase II.</w:t>
      </w:r>
    </w:p>
    <w:p w14:paraId="7D50D207" w14:textId="77777777" w:rsidR="00C9232E" w:rsidRPr="00D0206E" w:rsidRDefault="00C9232E" w:rsidP="00C9232E">
      <w:pPr>
        <w:rPr>
          <w:rFonts w:eastAsia="Times New Roman" w:cs="Times New Roman"/>
          <w:color w:val="000000"/>
          <w:sz w:val="22"/>
        </w:rPr>
      </w:pPr>
    </w:p>
    <w:p w14:paraId="2096417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Based upon the proposed solution in Phase I, develop and demonstrate a prototype using the maritime patrol domain, specifically targeting the role of the Tactical Coordinator. Several realistic scenarios will be developed, including a creative/sandbox mode where the trainee can design his or her own scenario to then engage with. Fleet stakeholders will assist with the identification of desired scenarios, first at the Unclassified level and later at the Classified level. A form of automated performance measurement will be included and pulled from fleet doctrine in order to inform trainees how they are performing based on the standard qualifications. Demonstrate the working prototype computer-based tactical trainer. Ensure that RMF guidelines to support IA compliance are met throughout software development. </w:t>
      </w:r>
    </w:p>
    <w:p w14:paraId="3F5A53DD" w14:textId="77777777" w:rsidR="00C9232E" w:rsidRPr="00D0206E" w:rsidRDefault="00C9232E" w:rsidP="00C9232E">
      <w:pPr>
        <w:rPr>
          <w:rFonts w:eastAsia="Times New Roman" w:cs="Times New Roman"/>
          <w:noProof/>
          <w:color w:val="000000"/>
          <w:sz w:val="22"/>
        </w:rPr>
      </w:pPr>
    </w:p>
    <w:p w14:paraId="075012C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25EC95A3" w14:textId="77777777" w:rsidR="00C9232E" w:rsidRPr="00D0206E" w:rsidRDefault="00C9232E" w:rsidP="00C9232E">
      <w:pPr>
        <w:rPr>
          <w:rFonts w:eastAsia="Times New Roman" w:cs="Times New Roman"/>
          <w:color w:val="000000"/>
          <w:sz w:val="22"/>
        </w:rPr>
      </w:pPr>
    </w:p>
    <w:p w14:paraId="00355D0B"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Further develop and refine the system to suit the needs of end users based on Phase II feedback and testing. Develop additional scenarios based on fleet needs and </w:t>
      </w:r>
      <w:r w:rsidRPr="00D0206E">
        <w:rPr>
          <w:rFonts w:eastAsia="Times New Roman" w:cs="Times New Roman"/>
          <w:noProof/>
          <w:color w:val="000000"/>
          <w:sz w:val="22"/>
        </w:rPr>
        <w:lastRenderedPageBreak/>
        <w:t>finalize the sandbox/creative mode. Demonstrate the validity of the software for transition purposes defined by the end-user Subject Matter Experts in the maritime patrol community. Plan and execute final testing of the trainer to Fleet stakeholders. Transition the capability to Fleet stakeholders within their training environment. The final capability will require RMF, information assurance, and cybersecurity compliance with all relevant regulations and guidelines.</w:t>
      </w:r>
    </w:p>
    <w:p w14:paraId="1A3F25C5" w14:textId="77777777" w:rsidR="00C9232E" w:rsidRPr="00D0206E" w:rsidRDefault="00C9232E" w:rsidP="00C9232E">
      <w:pPr>
        <w:rPr>
          <w:rFonts w:eastAsia="Times New Roman" w:cs="Times New Roman"/>
          <w:noProof/>
          <w:color w:val="000000"/>
          <w:sz w:val="22"/>
        </w:rPr>
      </w:pPr>
    </w:p>
    <w:p w14:paraId="0398C7F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architecture and design of the training tool, especially creative/sandbox mode, can be useful in professional industry and academic environments where planning and process implementation is warranted during lower fidelity training. This tool could be useful in dynamic environments such as aviation or maritime domains where the nature of tasks changes frequently.</w:t>
      </w:r>
    </w:p>
    <w:p w14:paraId="173B3470" w14:textId="77777777" w:rsidR="00C9232E" w:rsidRPr="00D0206E" w:rsidRDefault="00C9232E" w:rsidP="00C9232E">
      <w:pPr>
        <w:rPr>
          <w:rFonts w:eastAsia="Times New Roman" w:cs="Times New Roman"/>
          <w:color w:val="000000"/>
          <w:sz w:val="22"/>
        </w:rPr>
      </w:pPr>
    </w:p>
    <w:p w14:paraId="5557681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540F742" w14:textId="7AC8A45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Nan, Q. &amp; Liang, M. (2018, March). “SubSafe--A Game-based Training System for Submarine Safety.” In 2018 Joint International Advanced Engineering and Technology Research Conference (JIAET 2018). Atlantis Press.</w:t>
      </w:r>
      <w:r w:rsidR="001E50F9">
        <w:rPr>
          <w:rFonts w:eastAsia="Times New Roman" w:cs="Times New Roman"/>
          <w:noProof/>
          <w:color w:val="000000"/>
          <w:sz w:val="22"/>
        </w:rPr>
        <w:t xml:space="preserve"> </w:t>
      </w:r>
    </w:p>
    <w:p w14:paraId="09314CFB" w14:textId="77777777" w:rsidR="00BB58D8" w:rsidRDefault="00BB58D8" w:rsidP="00C9232E">
      <w:pPr>
        <w:rPr>
          <w:rFonts w:eastAsia="Times New Roman" w:cs="Times New Roman"/>
          <w:noProof/>
          <w:color w:val="000000"/>
          <w:sz w:val="22"/>
        </w:rPr>
      </w:pPr>
    </w:p>
    <w:p w14:paraId="785A4DCE" w14:textId="47EA18D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Slocombe, G. (2018). “Joint terminal attack controllers.” Asia-Pacific Defence Reporter (2002), Volume 44, Issue 2, p. 34. </w:t>
      </w:r>
      <w:hyperlink r:id="rId128" w:history="1">
        <w:r w:rsidR="001E50F9" w:rsidRPr="007743A7">
          <w:rPr>
            <w:rStyle w:val="Hyperlink"/>
            <w:rFonts w:eastAsia="Times New Roman" w:cs="Times New Roman"/>
            <w:noProof/>
            <w:sz w:val="22"/>
          </w:rPr>
          <w:t>https://search.informit.com.au/documentSummary,dn=435184434741982,res=IELBUS,type=pdf</w:t>
        </w:r>
      </w:hyperlink>
      <w:r w:rsidR="001E50F9">
        <w:rPr>
          <w:rFonts w:eastAsia="Times New Roman" w:cs="Times New Roman"/>
          <w:noProof/>
          <w:color w:val="000000"/>
          <w:sz w:val="22"/>
        </w:rPr>
        <w:t xml:space="preserve"> </w:t>
      </w:r>
    </w:p>
    <w:p w14:paraId="478AC522" w14:textId="77777777" w:rsidR="00BB58D8" w:rsidRDefault="00BB58D8" w:rsidP="00C9232E">
      <w:pPr>
        <w:rPr>
          <w:rFonts w:eastAsia="Times New Roman" w:cs="Times New Roman"/>
          <w:noProof/>
          <w:color w:val="000000"/>
          <w:sz w:val="22"/>
        </w:rPr>
      </w:pPr>
    </w:p>
    <w:p w14:paraId="33AE8EB3" w14:textId="152B0A55" w:rsidR="00BB58D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Reweti, S., Gilbey, A. &amp; Jeffrey, L. “Efficacy of low-cost PC-based aviation training devices.” Journal of Information Technology Education-Research, Volume 16, 2017, pp. 127-142. </w:t>
      </w:r>
      <w:hyperlink r:id="rId129" w:history="1">
        <w:r w:rsidR="001E50F9" w:rsidRPr="007743A7">
          <w:rPr>
            <w:rStyle w:val="Hyperlink"/>
            <w:rFonts w:eastAsia="Times New Roman" w:cs="Times New Roman"/>
            <w:noProof/>
            <w:sz w:val="22"/>
          </w:rPr>
          <w:t>https://eric.ed.gov/?id=EJ1140175</w:t>
        </w:r>
      </w:hyperlink>
      <w:r w:rsidR="001E50F9">
        <w:rPr>
          <w:rFonts w:eastAsia="Times New Roman" w:cs="Times New Roman"/>
          <w:noProof/>
          <w:color w:val="000000"/>
          <w:sz w:val="22"/>
        </w:rPr>
        <w:t xml:space="preserve"> </w:t>
      </w:r>
    </w:p>
    <w:p w14:paraId="422D6A7B" w14:textId="77777777" w:rsidR="00BB58D8" w:rsidRDefault="00BB58D8" w:rsidP="00C9232E">
      <w:pPr>
        <w:rPr>
          <w:rFonts w:eastAsia="Times New Roman" w:cs="Times New Roman"/>
          <w:noProof/>
          <w:color w:val="000000"/>
          <w:sz w:val="22"/>
        </w:rPr>
      </w:pPr>
    </w:p>
    <w:p w14:paraId="3B67C5D5" w14:textId="24FC1AD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Freeman, J., Tolland, M., Priest, H., Walwanis, M., Newton, C., Mooney, J. &amp; Bolton, A. “A tactical decision trainer for cross-platform command teams.” Interservice/Industry Training, Simulation and Education Conference, 2016. </w:t>
      </w:r>
      <w:hyperlink r:id="rId130" w:history="1">
        <w:r w:rsidR="001E50F9" w:rsidRPr="007743A7">
          <w:rPr>
            <w:rStyle w:val="Hyperlink"/>
            <w:rFonts w:eastAsia="Times New Roman" w:cs="Times New Roman"/>
            <w:noProof/>
            <w:sz w:val="22"/>
          </w:rPr>
          <w:t>http://jaredfreeman.com/jf_pubs/Freeman-TacticalDecisionTrainer-IITSEC-2016.pdf</w:t>
        </w:r>
      </w:hyperlink>
      <w:r w:rsidR="001E50F9">
        <w:rPr>
          <w:rFonts w:eastAsia="Times New Roman" w:cs="Times New Roman"/>
          <w:noProof/>
          <w:color w:val="000000"/>
          <w:sz w:val="22"/>
        </w:rPr>
        <w:t xml:space="preserve"> </w:t>
      </w:r>
    </w:p>
    <w:p w14:paraId="5F18B7B3" w14:textId="77777777" w:rsidR="00BB58D8" w:rsidRDefault="00BB58D8" w:rsidP="00C9232E">
      <w:pPr>
        <w:rPr>
          <w:rFonts w:eastAsia="Times New Roman" w:cs="Times New Roman"/>
          <w:noProof/>
          <w:color w:val="000000"/>
          <w:sz w:val="22"/>
        </w:rPr>
      </w:pPr>
    </w:p>
    <w:p w14:paraId="171D48BC" w14:textId="6738928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Risk Management Framework (RMF) Overview: </w:t>
      </w:r>
      <w:hyperlink r:id="rId131" w:history="1">
        <w:r w:rsidR="001E50F9" w:rsidRPr="007743A7">
          <w:rPr>
            <w:rStyle w:val="Hyperlink"/>
            <w:rFonts w:eastAsia="Times New Roman" w:cs="Times New Roman"/>
            <w:noProof/>
            <w:sz w:val="22"/>
          </w:rPr>
          <w:t>https://csrc.nist.gov/projects/risk-management/risk-management-framework-(RMF)-Overview</w:t>
        </w:r>
      </w:hyperlink>
      <w:r w:rsidR="001E50F9">
        <w:rPr>
          <w:rFonts w:eastAsia="Times New Roman" w:cs="Times New Roman"/>
          <w:noProof/>
          <w:color w:val="000000"/>
          <w:sz w:val="22"/>
        </w:rPr>
        <w:t xml:space="preserve"> </w:t>
      </w:r>
    </w:p>
    <w:p w14:paraId="597C0B4B" w14:textId="77777777" w:rsidR="00C9232E" w:rsidRPr="00D0206E" w:rsidRDefault="00C9232E" w:rsidP="00C9232E">
      <w:pPr>
        <w:rPr>
          <w:rFonts w:eastAsia="Times New Roman" w:cs="Times New Roman"/>
          <w:color w:val="000000"/>
          <w:sz w:val="22"/>
        </w:rPr>
      </w:pPr>
    </w:p>
    <w:p w14:paraId="06CA228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Training, Interactive, Desktop Trainer, Anti-Submarine Warfare, Tactics Trainer</w:t>
      </w:r>
    </w:p>
    <w:p w14:paraId="139B4633" w14:textId="77777777" w:rsidR="00C9232E" w:rsidRPr="00D0206E" w:rsidRDefault="00C9232E" w:rsidP="00C9232E">
      <w:pPr>
        <w:rPr>
          <w:rFonts w:eastAsia="Times New Roman" w:cs="Times New Roman"/>
          <w:color w:val="000000"/>
          <w:sz w:val="22"/>
        </w:rPr>
      </w:pPr>
    </w:p>
    <w:p w14:paraId="3AD909E2" w14:textId="77777777" w:rsidR="00C9232E" w:rsidRPr="00D0206E" w:rsidRDefault="00C9232E" w:rsidP="00C9232E">
      <w:pPr>
        <w:tabs>
          <w:tab w:val="left" w:pos="1260"/>
        </w:tabs>
        <w:ind w:left="270"/>
        <w:rPr>
          <w:rFonts w:eastAsia="Times New Roman" w:cs="Times New Roman"/>
          <w:color w:val="000000"/>
          <w:sz w:val="22"/>
        </w:rPr>
      </w:pPr>
    </w:p>
    <w:p w14:paraId="335CF97F" w14:textId="77777777" w:rsidR="00C9232E" w:rsidRPr="00D0206E" w:rsidRDefault="00C9232E" w:rsidP="00C9232E">
      <w:pPr>
        <w:tabs>
          <w:tab w:val="left" w:pos="1260"/>
        </w:tabs>
        <w:ind w:left="270"/>
        <w:rPr>
          <w:rFonts w:eastAsia="Times New Roman" w:cs="Times New Roman"/>
          <w:color w:val="000000"/>
          <w:sz w:val="22"/>
        </w:rPr>
      </w:pPr>
    </w:p>
    <w:p w14:paraId="10DC412D" w14:textId="77777777" w:rsidR="00C9232E" w:rsidRPr="00D0206E" w:rsidRDefault="00C9232E" w:rsidP="00C9232E">
      <w:pPr>
        <w:rPr>
          <w:rFonts w:eastAsia="Times New Roman" w:cs="Times New Roman"/>
          <w:color w:val="000000"/>
          <w:sz w:val="22"/>
        </w:rPr>
      </w:pPr>
    </w:p>
    <w:p w14:paraId="6CBD0C20" w14:textId="77777777" w:rsidR="00C9232E" w:rsidRPr="00D0206E" w:rsidRDefault="00C9232E" w:rsidP="00C9232E">
      <w:pPr>
        <w:rPr>
          <w:rFonts w:eastAsia="Times New Roman" w:cs="Times New Roman"/>
          <w:color w:val="000000"/>
          <w:sz w:val="22"/>
        </w:rPr>
      </w:pPr>
    </w:p>
    <w:p w14:paraId="2B870AFB"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76BD13A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N202-112</w:t>
      </w:r>
      <w:r w:rsidRPr="00D0206E">
        <w:rPr>
          <w:rFonts w:eastAsia="Times New Roman" w:cs="Times New Roman"/>
          <w:color w:val="000000"/>
          <w:sz w:val="22"/>
        </w:rPr>
        <w:tab/>
        <w:t xml:space="preserve">TITLE: </w:t>
      </w:r>
      <w:r w:rsidRPr="00D0206E">
        <w:rPr>
          <w:rFonts w:eastAsia="Times New Roman" w:cs="Times New Roman"/>
          <w:noProof/>
          <w:color w:val="000000"/>
          <w:sz w:val="22"/>
        </w:rPr>
        <w:t>Multi-Domain Data Fusion Instructional Strategies and Methods for Pilot Training</w:t>
      </w:r>
    </w:p>
    <w:p w14:paraId="4EA6D62A" w14:textId="77777777" w:rsidR="00C9232E" w:rsidRPr="00D0206E" w:rsidRDefault="00C9232E" w:rsidP="00C9232E">
      <w:pPr>
        <w:rPr>
          <w:rFonts w:eastAsia="Times New Roman" w:cs="Times New Roman"/>
          <w:color w:val="000000"/>
          <w:sz w:val="22"/>
        </w:rPr>
      </w:pPr>
    </w:p>
    <w:p w14:paraId="7172D89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Artificial Intelligence/ Machine Learning, General Warfighting Requirements (GWR)</w:t>
      </w:r>
    </w:p>
    <w:p w14:paraId="5DEC99D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Human Systems</w:t>
      </w:r>
    </w:p>
    <w:p w14:paraId="58D767F5" w14:textId="77777777" w:rsidR="00C9232E" w:rsidRPr="00D0206E" w:rsidRDefault="00C9232E" w:rsidP="00C9232E">
      <w:pPr>
        <w:rPr>
          <w:rFonts w:eastAsia="Times New Roman" w:cs="Times New Roman"/>
          <w:color w:val="000000"/>
          <w:sz w:val="22"/>
        </w:rPr>
      </w:pPr>
    </w:p>
    <w:p w14:paraId="5ABC167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CB5D13A" w14:textId="77777777" w:rsidR="00C9232E" w:rsidRPr="00D0206E" w:rsidRDefault="00C9232E" w:rsidP="00C9232E">
      <w:pPr>
        <w:rPr>
          <w:rFonts w:eastAsia="Times New Roman" w:cs="Times New Roman"/>
          <w:color w:val="000000"/>
          <w:sz w:val="22"/>
        </w:rPr>
      </w:pPr>
    </w:p>
    <w:p w14:paraId="662898A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Research and develop training objectives for the multi-domain environment and instructional strategies for manned-unmanned data fusion tactical decision making. Research and develop instructional tools that support defined strategies and methods to increase operator training effectiveness and mission readiness.</w:t>
      </w:r>
    </w:p>
    <w:p w14:paraId="3E751ECD" w14:textId="77777777" w:rsidR="00C9232E" w:rsidRPr="00D0206E" w:rsidRDefault="00C9232E" w:rsidP="00C9232E">
      <w:pPr>
        <w:rPr>
          <w:rFonts w:eastAsia="Times New Roman" w:cs="Times New Roman"/>
          <w:color w:val="000000"/>
          <w:sz w:val="22"/>
        </w:rPr>
      </w:pPr>
    </w:p>
    <w:p w14:paraId="2E2B7A09"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Operator reliance on sensor fusion is becoming more prominent as platforms increase reliance on automated technology in next generation platforms. Further, as programs look to extend platform capabilities through off-board, unmanned sensor technology and capabilities, requirements for operator synthesis of data and decision-making based on manned-unmanned collaboration will become an essential part of operations. As these technologies advance, training systems must identify appropriate instructional strategies and training methods to ensure that operators understand the implications of automated technologies. Advanced platforms and systems, including Joint Strike Fighter and Strike Planning and Execution Systems, offer unique use cases facing these challenges. Additionally, interest has been expressed by programs such as Aerial Targets and Multi-Mission Tactical Unmanned Aerial Systems, and for long-term data fusion enhancements based on future system concept of operations for future helicopter platforms. </w:t>
      </w:r>
    </w:p>
    <w:p w14:paraId="54F583C2" w14:textId="77777777" w:rsidR="00C9232E" w:rsidRPr="00D0206E" w:rsidRDefault="00C9232E" w:rsidP="00C9232E">
      <w:pPr>
        <w:rPr>
          <w:rFonts w:eastAsia="Times New Roman" w:cs="Times New Roman"/>
          <w:noProof/>
          <w:color w:val="000000"/>
          <w:sz w:val="22"/>
        </w:rPr>
      </w:pPr>
    </w:p>
    <w:p w14:paraId="69CC972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This SBIR topic seeks to identify unique instructional strategies necessary for supporting manned-unmanned teaming to ensure effective and efficient operator performance. Performance is measured using both automated measures derived from available data sources and observer-based measures. Significant increases from a baseline (pre-implementation of the technology) would constitute acceptable improvement, as well as impacts to expected relevant manned-unmanned teaming factors including communication, trust, and workload. Further, an analysis of crew resource management instructional methods is necessary to identify mechanisms for extending these well-established principles to manned-unmanned teaming environments to ensure training technologies and approaches best address these future requirements. As part of this effort, development and demonstration of a software technology prototype is desired that supports training built upon the instructional strategies and methods defined. The hardware and software must meet the system DoD accreditation and certification requirements to support processing approvals for use through the policy cited in Department of Defense Instruction (DoDI) 8510.01, Risk Management Framework (RMF) for DoD Information Technology (IT) [Ref 1], and comply with appropriate DoDI 8500.01, Cybersecurity [Ref 7]. Finally, research into the effectiveness of the instructional strategies and technologies developed based on these concepts is necessary to determine feasibility prior to transition.</w:t>
      </w:r>
    </w:p>
    <w:p w14:paraId="68D049D3" w14:textId="77777777" w:rsidR="00C9232E" w:rsidRPr="00D0206E" w:rsidRDefault="00C9232E" w:rsidP="00C9232E">
      <w:pPr>
        <w:rPr>
          <w:rFonts w:eastAsia="Times New Roman" w:cs="Times New Roman"/>
          <w:noProof/>
          <w:color w:val="000000"/>
          <w:sz w:val="22"/>
        </w:rPr>
      </w:pPr>
    </w:p>
    <w:p w14:paraId="19AD1180"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F8519EB" w14:textId="77777777" w:rsidR="00C9232E" w:rsidRPr="00D0206E" w:rsidRDefault="00C9232E" w:rsidP="00C9232E">
      <w:pPr>
        <w:rPr>
          <w:rFonts w:eastAsia="Times New Roman" w:cs="Times New Roman"/>
          <w:color w:val="000000"/>
          <w:sz w:val="22"/>
        </w:rPr>
      </w:pPr>
    </w:p>
    <w:p w14:paraId="50400B9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Research and develop training objectives for the multi-domain environment and instructional strategies for manned-unmanned data fusion tactical decision making. Identify training technology to assist instructors with training and/or technologies to support instructorless training (e.g., scaffolding) that might provide beneficial uses in operational contexts for operator job aids when leveraging manned-unmanned data fusion for tactical decision making. Research and develop recommendations for automation transparency to support operator tactical decision making when leveraging manned-unmanned data fusion technology in multi-domain environments. The Phase I effort will include plans to be developed under Phase II.</w:t>
      </w:r>
    </w:p>
    <w:p w14:paraId="440A4533" w14:textId="77777777" w:rsidR="00C9232E" w:rsidRPr="00D0206E" w:rsidRDefault="00C9232E" w:rsidP="00C9232E">
      <w:pPr>
        <w:rPr>
          <w:rFonts w:eastAsia="Times New Roman" w:cs="Times New Roman"/>
          <w:color w:val="000000"/>
          <w:sz w:val="22"/>
        </w:rPr>
      </w:pPr>
    </w:p>
    <w:p w14:paraId="590D941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Research and develop instructional tools that support defined strategies and methods to increase operator training effectiveness and mission readiness, including both technology to support instructor-led and instructorless training situations. Demonstrate operational utility of the technology for providing operator job aids and adjusting the level of transparency of automated data fusion systems to increase operator performance in manned-unmanned teaming environments. Demonstrate a prototype of the software technology that considers and adheres to Risk Management Framework guidelines to support cyber-security compliance in a lab or live environment.</w:t>
      </w:r>
    </w:p>
    <w:p w14:paraId="78F6F2AB" w14:textId="77777777" w:rsidR="00C9232E" w:rsidRPr="00D0206E" w:rsidRDefault="00C9232E" w:rsidP="00C9232E">
      <w:pPr>
        <w:rPr>
          <w:rFonts w:eastAsia="Times New Roman" w:cs="Times New Roman"/>
          <w:noProof/>
          <w:color w:val="000000"/>
          <w:sz w:val="22"/>
        </w:rPr>
      </w:pPr>
    </w:p>
    <w:p w14:paraId="34C892CB"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Description section.</w:t>
      </w:r>
    </w:p>
    <w:p w14:paraId="0DB43537" w14:textId="77777777" w:rsidR="00C9232E" w:rsidRPr="00D0206E" w:rsidRDefault="00C9232E" w:rsidP="00C9232E">
      <w:pPr>
        <w:rPr>
          <w:rFonts w:eastAsia="Times New Roman" w:cs="Times New Roman"/>
          <w:color w:val="000000"/>
          <w:sz w:val="22"/>
        </w:rPr>
      </w:pPr>
    </w:p>
    <w:p w14:paraId="556A2CB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Integrate instructional tools within a training system environment and/or transition technology via a Program Office to an operational system to provide operator job aids or enhancements to operator interfaces to increase performance. Attain Risk Management Framework certification for an authority to operate within operational/training systems.</w:t>
      </w:r>
    </w:p>
    <w:p w14:paraId="65412E2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Data fusion technologies are increasingly beneficial in the commercial sector with the influx of data analytics and advances in technology. Industries that employ commercial logistics tracking, trucking, and commercial aviation (due to the likely increase of commercial drones) may all benefit from the SBIR-developed technology solutions.</w:t>
      </w:r>
    </w:p>
    <w:p w14:paraId="1093B229" w14:textId="77777777" w:rsidR="00C9232E" w:rsidRPr="00D0206E" w:rsidRDefault="00C9232E" w:rsidP="00C9232E">
      <w:pPr>
        <w:rPr>
          <w:rFonts w:eastAsia="Times New Roman" w:cs="Times New Roman"/>
          <w:color w:val="000000"/>
          <w:sz w:val="22"/>
        </w:rPr>
      </w:pPr>
    </w:p>
    <w:p w14:paraId="0D26804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913CBCF" w14:textId="0D50450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“Risk Management Framework (RMF) for DoD Information Technology (IT).” Department of Defense, Washington D.C.: Executive Services Directorate, 2014. </w:t>
      </w:r>
      <w:hyperlink r:id="rId132" w:history="1">
        <w:r w:rsidR="006A4F39" w:rsidRPr="007743A7">
          <w:rPr>
            <w:rStyle w:val="Hyperlink"/>
            <w:rFonts w:eastAsia="Times New Roman" w:cs="Times New Roman"/>
            <w:noProof/>
            <w:sz w:val="22"/>
          </w:rPr>
          <w:t>https://www.esd.whs.mil/Portals/54/Documents/DD/issuances/dodi/851001_2014.pdf</w:t>
        </w:r>
      </w:hyperlink>
      <w:r w:rsidR="006A4F39">
        <w:rPr>
          <w:rFonts w:eastAsia="Times New Roman" w:cs="Times New Roman"/>
          <w:noProof/>
          <w:color w:val="000000"/>
          <w:sz w:val="22"/>
        </w:rPr>
        <w:t xml:space="preserve"> </w:t>
      </w:r>
    </w:p>
    <w:p w14:paraId="5170EEA0" w14:textId="77777777" w:rsidR="00BB58D8" w:rsidRDefault="00BB58D8" w:rsidP="00C9232E">
      <w:pPr>
        <w:rPr>
          <w:rFonts w:eastAsia="Times New Roman" w:cs="Times New Roman"/>
          <w:noProof/>
          <w:color w:val="000000"/>
          <w:sz w:val="22"/>
        </w:rPr>
      </w:pPr>
    </w:p>
    <w:p w14:paraId="277E7787" w14:textId="1B069AA3"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BAI Information Security Consulting &amp; Training. (2020). BAI: Information Security RMF Resource Center. Retrieved from Risk Management Framework. </w:t>
      </w:r>
      <w:hyperlink r:id="rId133" w:history="1">
        <w:r w:rsidR="006A4F39" w:rsidRPr="007743A7">
          <w:rPr>
            <w:rStyle w:val="Hyperlink"/>
            <w:rFonts w:eastAsia="Times New Roman" w:cs="Times New Roman"/>
            <w:noProof/>
            <w:sz w:val="22"/>
          </w:rPr>
          <w:t>https://csrc.nist.gov/projects/risk-management/risk-management-framework-(RMF)-Overview</w:t>
        </w:r>
      </w:hyperlink>
      <w:r w:rsidR="006A4F39">
        <w:rPr>
          <w:rFonts w:eastAsia="Times New Roman" w:cs="Times New Roman"/>
          <w:noProof/>
          <w:color w:val="000000"/>
          <w:sz w:val="22"/>
        </w:rPr>
        <w:t xml:space="preserve"> </w:t>
      </w:r>
    </w:p>
    <w:p w14:paraId="535F0DBA" w14:textId="77777777" w:rsidR="00BB58D8" w:rsidRDefault="00BB58D8" w:rsidP="00C9232E">
      <w:pPr>
        <w:rPr>
          <w:rFonts w:eastAsia="Times New Roman" w:cs="Times New Roman"/>
          <w:noProof/>
          <w:color w:val="000000"/>
          <w:sz w:val="22"/>
        </w:rPr>
      </w:pPr>
    </w:p>
    <w:p w14:paraId="5C3E594B" w14:textId="3D2BAECC" w:rsidR="00BB58D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Kaelbling, L. P., Littman, M. L. &amp; Moore, A. W. “Reinforcement Learning: A Survey.” Journal of Artificial Intelligence Research 4, 1996, pp. 237-285. </w:t>
      </w:r>
      <w:hyperlink r:id="rId134" w:history="1">
        <w:r w:rsidR="006A4F39" w:rsidRPr="007743A7">
          <w:rPr>
            <w:rStyle w:val="Hyperlink"/>
            <w:rFonts w:eastAsia="Times New Roman" w:cs="Times New Roman"/>
            <w:noProof/>
            <w:sz w:val="22"/>
          </w:rPr>
          <w:t>https://arxiv.org/pdf/cs/9605103.pdf</w:t>
        </w:r>
      </w:hyperlink>
      <w:r w:rsidR="006A4F39">
        <w:rPr>
          <w:rFonts w:eastAsia="Times New Roman" w:cs="Times New Roman"/>
          <w:noProof/>
          <w:color w:val="000000"/>
          <w:sz w:val="22"/>
        </w:rPr>
        <w:t xml:space="preserve"> </w:t>
      </w:r>
    </w:p>
    <w:p w14:paraId="4A7A0645" w14:textId="77777777" w:rsidR="00BB58D8" w:rsidRDefault="00BB58D8" w:rsidP="00C9232E">
      <w:pPr>
        <w:rPr>
          <w:rFonts w:eastAsia="Times New Roman" w:cs="Times New Roman"/>
          <w:noProof/>
          <w:color w:val="000000"/>
          <w:sz w:val="22"/>
        </w:rPr>
      </w:pPr>
    </w:p>
    <w:p w14:paraId="39BC39C7" w14:textId="000BDE3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 xml:space="preserve">4. Cummings, M. L., Brzezinski, A. S. &amp; Lee, J. D. “The Impact of Intelligent Aiding for Multiple Unmanned Aerial Vehicle Schedule Management.” IEEE Intelligent Systems: Special Issue on Interacting with Autonomy, 2007, pp. 52-59. </w:t>
      </w:r>
      <w:hyperlink r:id="rId135" w:history="1">
        <w:r w:rsidR="006A4F39" w:rsidRPr="007743A7">
          <w:rPr>
            <w:rStyle w:val="Hyperlink"/>
            <w:rFonts w:eastAsia="Times New Roman" w:cs="Times New Roman"/>
            <w:noProof/>
            <w:sz w:val="22"/>
          </w:rPr>
          <w:t>https://dspace.mit.edu/handle/1721.1/90287</w:t>
        </w:r>
      </w:hyperlink>
      <w:r w:rsidR="006A4F39">
        <w:rPr>
          <w:rFonts w:eastAsia="Times New Roman" w:cs="Times New Roman"/>
          <w:noProof/>
          <w:color w:val="000000"/>
          <w:sz w:val="22"/>
        </w:rPr>
        <w:t xml:space="preserve"> </w:t>
      </w:r>
    </w:p>
    <w:p w14:paraId="26627C4F" w14:textId="77777777" w:rsidR="00BB58D8" w:rsidRDefault="00BB58D8" w:rsidP="00C9232E">
      <w:pPr>
        <w:rPr>
          <w:rFonts w:eastAsia="Times New Roman" w:cs="Times New Roman"/>
          <w:noProof/>
          <w:color w:val="000000"/>
          <w:sz w:val="22"/>
        </w:rPr>
      </w:pPr>
    </w:p>
    <w:p w14:paraId="41E6BAFC" w14:textId="20BF441F" w:rsidR="00C1269B"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Salamon, A., Housten, D. &amp; Drewes, P. “Increasing Situational Awareness Through the Use of UXV Teams While Reducing Operator Workload.” Semantic Scholar: Cherry Hill, 2009. </w:t>
      </w:r>
      <w:hyperlink r:id="rId136" w:history="1">
        <w:r w:rsidR="006A4F39" w:rsidRPr="007743A7">
          <w:rPr>
            <w:rStyle w:val="Hyperlink"/>
            <w:rFonts w:eastAsia="Times New Roman" w:cs="Times New Roman"/>
            <w:noProof/>
            <w:sz w:val="22"/>
          </w:rPr>
          <w:t>http://citeseerx.ist.psu.edu/viewdoc/download?doi=10.1.1.614.2182&amp;rep=rep1&amp;type=pdf</w:t>
        </w:r>
      </w:hyperlink>
      <w:r w:rsidR="006A4F39">
        <w:rPr>
          <w:rFonts w:eastAsia="Times New Roman" w:cs="Times New Roman"/>
          <w:noProof/>
          <w:color w:val="000000"/>
          <w:sz w:val="22"/>
        </w:rPr>
        <w:t xml:space="preserve"> </w:t>
      </w:r>
    </w:p>
    <w:p w14:paraId="46AD5F1B" w14:textId="77777777" w:rsidR="00C1269B" w:rsidRDefault="00C1269B" w:rsidP="00C9232E">
      <w:pPr>
        <w:rPr>
          <w:rFonts w:eastAsia="Times New Roman" w:cs="Times New Roman"/>
          <w:noProof/>
          <w:color w:val="000000"/>
          <w:sz w:val="22"/>
        </w:rPr>
      </w:pPr>
    </w:p>
    <w:p w14:paraId="050168EE" w14:textId="7DC6FAA9" w:rsidR="00C9232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6. Breazeal, C., Hoffman, G. &amp; Lockerd, A. “Teaching and Working with Robots as a Collaboration.” AAMAS '04: Proceedings of the Third International Joint Conference on Autonomous Agents and Multiagent Systems, 2004. pp. 1030-1037. </w:t>
      </w:r>
      <w:hyperlink r:id="rId137" w:history="1">
        <w:r w:rsidR="006A4F39" w:rsidRPr="007743A7">
          <w:rPr>
            <w:rStyle w:val="Hyperlink"/>
            <w:rFonts w:eastAsia="Times New Roman" w:cs="Times New Roman"/>
            <w:noProof/>
            <w:sz w:val="22"/>
          </w:rPr>
          <w:t>https://dl.acm.org/doi/10.5555/1018411.1018871</w:t>
        </w:r>
      </w:hyperlink>
    </w:p>
    <w:p w14:paraId="05176932" w14:textId="77777777" w:rsidR="006A4F39" w:rsidRPr="00D0206E" w:rsidRDefault="006A4F39" w:rsidP="00C9232E">
      <w:pPr>
        <w:rPr>
          <w:rFonts w:eastAsia="Times New Roman" w:cs="Times New Roman"/>
          <w:noProof/>
          <w:color w:val="000000"/>
          <w:sz w:val="22"/>
        </w:rPr>
      </w:pPr>
    </w:p>
    <w:p w14:paraId="22231993" w14:textId="2A56703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7. “Department of Defense Instruction 8500.01, Cybersecurity.” </w:t>
      </w:r>
      <w:hyperlink r:id="rId138" w:history="1">
        <w:r w:rsidR="006A4F39" w:rsidRPr="007743A7">
          <w:rPr>
            <w:rStyle w:val="Hyperlink"/>
            <w:rFonts w:eastAsia="Times New Roman" w:cs="Times New Roman"/>
            <w:noProof/>
            <w:sz w:val="22"/>
          </w:rPr>
          <w:t>https://www.esd.whs.mil/Portals/54/Documents/DD/issuances/dodi/850001_2014.pdf</w:t>
        </w:r>
      </w:hyperlink>
      <w:r w:rsidR="006A4F39">
        <w:rPr>
          <w:rFonts w:eastAsia="Times New Roman" w:cs="Times New Roman"/>
          <w:noProof/>
          <w:color w:val="000000"/>
          <w:sz w:val="22"/>
        </w:rPr>
        <w:t xml:space="preserve"> </w:t>
      </w:r>
    </w:p>
    <w:p w14:paraId="3798EF33" w14:textId="77777777" w:rsidR="00C9232E" w:rsidRPr="00D0206E" w:rsidRDefault="00C9232E" w:rsidP="00C9232E">
      <w:pPr>
        <w:rPr>
          <w:rFonts w:eastAsia="Times New Roman" w:cs="Times New Roman"/>
          <w:color w:val="000000"/>
          <w:sz w:val="22"/>
        </w:rPr>
      </w:pPr>
    </w:p>
    <w:p w14:paraId="011D465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Training, Data Fusion, Sensor Fusion, Manned-unmanned Teaming, Instructional Strategies, Job Aids</w:t>
      </w:r>
    </w:p>
    <w:p w14:paraId="5B20C7D4" w14:textId="77777777" w:rsidR="00C9232E" w:rsidRPr="00D0206E" w:rsidRDefault="00C9232E" w:rsidP="00C9232E">
      <w:pPr>
        <w:rPr>
          <w:rFonts w:eastAsia="Times New Roman" w:cs="Times New Roman"/>
          <w:color w:val="000000"/>
          <w:sz w:val="22"/>
        </w:rPr>
      </w:pPr>
    </w:p>
    <w:p w14:paraId="169447F4" w14:textId="77777777" w:rsidR="00C9232E" w:rsidRPr="00D0206E" w:rsidRDefault="00C9232E" w:rsidP="00C9232E">
      <w:pPr>
        <w:tabs>
          <w:tab w:val="left" w:pos="1260"/>
        </w:tabs>
        <w:ind w:left="270"/>
        <w:rPr>
          <w:rFonts w:eastAsia="Times New Roman" w:cs="Times New Roman"/>
          <w:color w:val="000000"/>
          <w:sz w:val="22"/>
        </w:rPr>
      </w:pPr>
    </w:p>
    <w:p w14:paraId="519928D1" w14:textId="77777777" w:rsidR="00C9232E" w:rsidRPr="00D0206E" w:rsidRDefault="00C9232E" w:rsidP="00C9232E">
      <w:pPr>
        <w:tabs>
          <w:tab w:val="left" w:pos="1260"/>
        </w:tabs>
        <w:ind w:left="270"/>
        <w:rPr>
          <w:rFonts w:eastAsia="Times New Roman" w:cs="Times New Roman"/>
          <w:color w:val="000000"/>
          <w:sz w:val="22"/>
        </w:rPr>
      </w:pPr>
    </w:p>
    <w:p w14:paraId="7BBFB735" w14:textId="77777777" w:rsidR="00C9232E" w:rsidRPr="00D0206E" w:rsidRDefault="00C9232E" w:rsidP="00C9232E">
      <w:pPr>
        <w:tabs>
          <w:tab w:val="left" w:pos="1260"/>
        </w:tabs>
        <w:ind w:left="270"/>
        <w:rPr>
          <w:rFonts w:eastAsia="Times New Roman" w:cs="Times New Roman"/>
          <w:color w:val="000000"/>
          <w:sz w:val="22"/>
        </w:rPr>
      </w:pPr>
    </w:p>
    <w:p w14:paraId="04E471EE" w14:textId="77777777" w:rsidR="00C9232E" w:rsidRPr="00D0206E" w:rsidRDefault="00C9232E" w:rsidP="00C9232E">
      <w:pPr>
        <w:rPr>
          <w:rFonts w:eastAsia="Times New Roman" w:cs="Times New Roman"/>
          <w:color w:val="000000"/>
          <w:sz w:val="22"/>
        </w:rPr>
      </w:pPr>
    </w:p>
    <w:p w14:paraId="4AF36CBC" w14:textId="77777777" w:rsidR="00C9232E" w:rsidRPr="00D0206E" w:rsidRDefault="00C9232E" w:rsidP="00C9232E">
      <w:pPr>
        <w:rPr>
          <w:rFonts w:eastAsia="Times New Roman" w:cs="Times New Roman"/>
          <w:color w:val="000000"/>
          <w:sz w:val="22"/>
        </w:rPr>
      </w:pPr>
    </w:p>
    <w:p w14:paraId="779F47C1"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3490A0B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N202-113</w:t>
      </w:r>
      <w:r w:rsidRPr="00D0206E">
        <w:rPr>
          <w:rFonts w:eastAsia="Times New Roman" w:cs="Times New Roman"/>
          <w:color w:val="000000"/>
          <w:sz w:val="22"/>
        </w:rPr>
        <w:tab/>
        <w:t xml:space="preserve">TITLE: </w:t>
      </w:r>
      <w:r w:rsidRPr="00D0206E">
        <w:rPr>
          <w:rFonts w:eastAsia="Times New Roman" w:cs="Times New Roman"/>
          <w:noProof/>
          <w:color w:val="000000"/>
          <w:sz w:val="22"/>
        </w:rPr>
        <w:t>Mid-Body Range Safety Subsystem</w:t>
      </w:r>
    </w:p>
    <w:p w14:paraId="2B71573B" w14:textId="77777777" w:rsidR="00C9232E" w:rsidRPr="00D0206E" w:rsidRDefault="00C9232E" w:rsidP="00C9232E">
      <w:pPr>
        <w:rPr>
          <w:rFonts w:eastAsia="Times New Roman" w:cs="Times New Roman"/>
          <w:color w:val="000000"/>
          <w:sz w:val="22"/>
        </w:rPr>
      </w:pPr>
    </w:p>
    <w:p w14:paraId="362C3D5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5A3AE4D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Electronics, Weapons</w:t>
      </w:r>
    </w:p>
    <w:p w14:paraId="2069CD98" w14:textId="77777777" w:rsidR="00C9232E" w:rsidRPr="00D0206E" w:rsidRDefault="00C9232E" w:rsidP="00C9232E">
      <w:pPr>
        <w:rPr>
          <w:rFonts w:eastAsia="Times New Roman" w:cs="Times New Roman"/>
          <w:color w:val="000000"/>
          <w:sz w:val="22"/>
        </w:rPr>
      </w:pPr>
    </w:p>
    <w:p w14:paraId="1601109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1E7536B" w14:textId="77777777" w:rsidR="00C9232E" w:rsidRPr="00D0206E" w:rsidRDefault="00C9232E" w:rsidP="00C9232E">
      <w:pPr>
        <w:rPr>
          <w:rFonts w:eastAsia="Times New Roman" w:cs="Times New Roman"/>
          <w:color w:val="000000"/>
          <w:sz w:val="22"/>
        </w:rPr>
      </w:pPr>
    </w:p>
    <w:p w14:paraId="6277F76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Design and develop an innovative, automated, low-cost Mid-Body Range Safety Subsystem (MRSS) to meet range safety and platform engineering requirements for flight testing of the Tomahawk Weapons System launched from designated surface ships, submarines, and mobile ground launchers.</w:t>
      </w:r>
    </w:p>
    <w:p w14:paraId="2F5BFC59" w14:textId="77777777" w:rsidR="00C9232E" w:rsidRPr="00D0206E" w:rsidRDefault="00C9232E" w:rsidP="00C9232E">
      <w:pPr>
        <w:rPr>
          <w:rFonts w:eastAsia="Times New Roman" w:cs="Times New Roman"/>
          <w:color w:val="000000"/>
          <w:sz w:val="22"/>
        </w:rPr>
      </w:pPr>
    </w:p>
    <w:p w14:paraId="76EC9D73"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The MRSS is an instrumentation package installed in the Tomahawk missile body prior to flight testing. In general, the MRSS provides three basic functions: telemetry, tracking, and flight override/flight terminate. The Tomahawk MRSS is comprised of an antenna, transmitter and a PCM Encoder that collects the missile data and puts it in a format to be transmitted. Currently, tracking is accomplished using a C-band transponder and an antenna. The flight override/flight terminate system will, typically, have an antenna, flight terminate receivers (FTRs), a control decoder (for flight override), and an electronics box that can sense the terminate command from the FTRs and interface with the missile methodology of crashing the missile. </w:t>
      </w:r>
    </w:p>
    <w:p w14:paraId="6E612AAD" w14:textId="77777777" w:rsidR="00C9232E" w:rsidRPr="00D0206E" w:rsidRDefault="00C9232E" w:rsidP="00C9232E">
      <w:pPr>
        <w:rPr>
          <w:rFonts w:eastAsia="Times New Roman" w:cs="Times New Roman"/>
          <w:noProof/>
          <w:color w:val="000000"/>
          <w:sz w:val="22"/>
        </w:rPr>
      </w:pPr>
    </w:p>
    <w:p w14:paraId="20AF304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MRSS is required to meet data collection and range safety requirements. It provides the missile with a communications link with test ranges during flight tests and enables the missile to be tracked, monitored, and controlled or terminated by test range personnel during flight testing. This subsystem is only present during flight and related testing, and is comprised of a Range Safety Electronics Unit (RSEU) and a Tri-Band Antenna. The MRSS provides telemetry (TM) data at a rate of 2.5 megabits per second. The communications include missile instrumentation data, range command and control, flight termination, and position tracking. For submarine launch, selected missile data are stored and retransmitted to allow for missile performance evaluation from intent to launch (ITL) Command through broach. The RSEU sealing design (preventing JP-10 intrusion) satisfies the 60704 JP-10 compatibility requirement on internal RSEU components.  </w:t>
      </w:r>
    </w:p>
    <w:p w14:paraId="7BDAD566" w14:textId="77777777" w:rsidR="00C9232E" w:rsidRPr="00D0206E" w:rsidRDefault="00C9232E" w:rsidP="00C9232E">
      <w:pPr>
        <w:rPr>
          <w:rFonts w:eastAsia="Times New Roman" w:cs="Times New Roman"/>
          <w:noProof/>
          <w:color w:val="000000"/>
          <w:sz w:val="22"/>
        </w:rPr>
      </w:pPr>
    </w:p>
    <w:p w14:paraId="1539953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solution cannot exceed the physical characteristics listed below and must fit in the mid-body section of a Tomahawk missile. Please note that the MRSS Spec and the TT-SRD-98-0058 System Safety Program Plan will be provided to the Phase I performers.</w:t>
      </w:r>
    </w:p>
    <w:p w14:paraId="5D1DBC23"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Physical Characteristics (current MRSS):</w:t>
      </w:r>
    </w:p>
    <w:p w14:paraId="58C77928" w14:textId="77777777" w:rsidR="00C9232E" w:rsidRPr="00D0206E" w:rsidRDefault="00C9232E" w:rsidP="00C34768">
      <w:pPr>
        <w:pStyle w:val="ListParagraph"/>
        <w:numPr>
          <w:ilvl w:val="0"/>
          <w:numId w:val="15"/>
        </w:numPr>
        <w:rPr>
          <w:noProof/>
          <w:color w:val="000000"/>
          <w:sz w:val="22"/>
          <w:szCs w:val="22"/>
        </w:rPr>
      </w:pPr>
      <w:r w:rsidRPr="00D0206E">
        <w:rPr>
          <w:noProof/>
          <w:color w:val="000000"/>
          <w:sz w:val="22"/>
          <w:szCs w:val="22"/>
        </w:rPr>
        <w:t>The current MRSS spec (PMA280-1208) does not list a weight nor any other physical and/or dimensional requirements. However, the existing design provides framework for the replacement kit.  Any replacement kit will be constrained by the current design’s mechanical and electrical requirements/characteristics and interfaces with the missile.</w:t>
      </w:r>
    </w:p>
    <w:p w14:paraId="777FE9B1" w14:textId="77777777" w:rsidR="00C9232E" w:rsidRPr="00D0206E" w:rsidRDefault="00C9232E" w:rsidP="00C34768">
      <w:pPr>
        <w:pStyle w:val="ListParagraph"/>
        <w:numPr>
          <w:ilvl w:val="0"/>
          <w:numId w:val="15"/>
        </w:numPr>
        <w:rPr>
          <w:noProof/>
          <w:color w:val="000000"/>
          <w:sz w:val="22"/>
          <w:szCs w:val="22"/>
        </w:rPr>
      </w:pPr>
      <w:r w:rsidRPr="00D0206E">
        <w:rPr>
          <w:noProof/>
          <w:color w:val="000000"/>
          <w:sz w:val="22"/>
          <w:szCs w:val="22"/>
        </w:rPr>
        <w:t>Power must be self-contained and independent from a Tomahawk missile</w:t>
      </w:r>
    </w:p>
    <w:p w14:paraId="0135164D" w14:textId="77777777" w:rsidR="00C9232E" w:rsidRPr="00D0206E" w:rsidRDefault="00C9232E" w:rsidP="00C34768">
      <w:pPr>
        <w:pStyle w:val="ListParagraph"/>
        <w:numPr>
          <w:ilvl w:val="0"/>
          <w:numId w:val="15"/>
        </w:numPr>
        <w:rPr>
          <w:noProof/>
          <w:color w:val="000000"/>
          <w:sz w:val="22"/>
          <w:szCs w:val="22"/>
        </w:rPr>
      </w:pPr>
      <w:r w:rsidRPr="00D0206E">
        <w:rPr>
          <w:noProof/>
          <w:color w:val="000000"/>
          <w:sz w:val="22"/>
          <w:szCs w:val="22"/>
        </w:rPr>
        <w:t xml:space="preserve">The missile platform contractor will need to rework all center of gravity (CG) calculations based on new MRSS design. </w:t>
      </w:r>
    </w:p>
    <w:p w14:paraId="6CA54A22" w14:textId="77777777" w:rsidR="00C9232E" w:rsidRPr="00D0206E" w:rsidRDefault="00C9232E" w:rsidP="00C9232E">
      <w:pPr>
        <w:rPr>
          <w:rFonts w:eastAsia="Times New Roman" w:cs="Times New Roman"/>
          <w:noProof/>
          <w:color w:val="000000"/>
          <w:sz w:val="22"/>
        </w:rPr>
      </w:pPr>
    </w:p>
    <w:p w14:paraId="1C19E31B"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lastRenderedPageBreak/>
        <w:t xml:space="preserve">Transmitting Requirements:  </w:t>
      </w:r>
    </w:p>
    <w:p w14:paraId="282A3F47"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Transmit missile performance telemetry data and flight termination system status via S-band radio frequency (RF) link.</w:t>
      </w:r>
    </w:p>
    <w:p w14:paraId="77CA50AB"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Position tracking via C-band transponder.</w:t>
      </w:r>
    </w:p>
    <w:p w14:paraId="2785B412"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Demodulate an ultra-high frequency (UHF) RF link and provide for override command and control of the missile by a designated RF source.</w:t>
      </w:r>
    </w:p>
    <w:p w14:paraId="4F59EB6F"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Provide a discrete signal to the Mission Control Processor (MC I/O) indicating loss-of-tone of Range Safety Carrier.</w:t>
      </w:r>
    </w:p>
    <w:p w14:paraId="47A9D372"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Initiate missile flight termination action following receipt of any of the indications below:</w:t>
      </w:r>
    </w:p>
    <w:p w14:paraId="59219940" w14:textId="77777777" w:rsidR="00C9232E" w:rsidRPr="00D0206E" w:rsidRDefault="00C9232E" w:rsidP="00C34768">
      <w:pPr>
        <w:pStyle w:val="ListParagraph"/>
        <w:numPr>
          <w:ilvl w:val="0"/>
          <w:numId w:val="17"/>
        </w:numPr>
        <w:rPr>
          <w:noProof/>
          <w:color w:val="000000"/>
          <w:sz w:val="22"/>
          <w:szCs w:val="22"/>
        </w:rPr>
      </w:pPr>
      <w:r w:rsidRPr="00D0206E">
        <w:rPr>
          <w:noProof/>
          <w:color w:val="000000"/>
          <w:sz w:val="22"/>
          <w:szCs w:val="22"/>
        </w:rPr>
        <w:t>Receipt of a COMMAND TERMINATE</w:t>
      </w:r>
    </w:p>
    <w:p w14:paraId="7901081C" w14:textId="77777777" w:rsidR="00C9232E" w:rsidRPr="00D0206E" w:rsidRDefault="00C9232E" w:rsidP="00C34768">
      <w:pPr>
        <w:pStyle w:val="ListParagraph"/>
        <w:numPr>
          <w:ilvl w:val="0"/>
          <w:numId w:val="17"/>
        </w:numPr>
        <w:rPr>
          <w:noProof/>
          <w:color w:val="000000"/>
          <w:sz w:val="22"/>
          <w:szCs w:val="22"/>
        </w:rPr>
      </w:pPr>
      <w:r w:rsidRPr="00D0206E">
        <w:rPr>
          <w:noProof/>
          <w:color w:val="000000"/>
          <w:sz w:val="22"/>
          <w:szCs w:val="22"/>
        </w:rPr>
        <w:t>Receipt of "Loss-of-tone/Initiate Flight Terminate" (SW 35) signal from the Pyro/Power Control Assembly (PPCA) within the missile Guidance Electronics Unit.</w:t>
      </w:r>
    </w:p>
    <w:p w14:paraId="37A10E89" w14:textId="77777777" w:rsidR="00C9232E" w:rsidRPr="00D0206E" w:rsidRDefault="00C9232E" w:rsidP="00C34768">
      <w:pPr>
        <w:pStyle w:val="ListParagraph"/>
        <w:numPr>
          <w:ilvl w:val="0"/>
          <w:numId w:val="17"/>
        </w:numPr>
        <w:rPr>
          <w:noProof/>
          <w:color w:val="000000"/>
          <w:sz w:val="22"/>
          <w:szCs w:val="22"/>
        </w:rPr>
      </w:pPr>
      <w:r w:rsidRPr="00D0206E">
        <w:rPr>
          <w:noProof/>
          <w:color w:val="000000"/>
          <w:sz w:val="22"/>
          <w:szCs w:val="22"/>
        </w:rPr>
        <w:t>CMA bus voltage drops below the specified low operating voltage for the flight terminate receivers.</w:t>
      </w:r>
    </w:p>
    <w:p w14:paraId="38B77B0E" w14:textId="77777777" w:rsidR="00C9232E" w:rsidRPr="00D0206E" w:rsidRDefault="00C9232E" w:rsidP="00C34768">
      <w:pPr>
        <w:pStyle w:val="ListParagraph"/>
        <w:numPr>
          <w:ilvl w:val="0"/>
          <w:numId w:val="16"/>
        </w:numPr>
        <w:rPr>
          <w:noProof/>
          <w:color w:val="000000"/>
          <w:sz w:val="22"/>
          <w:szCs w:val="22"/>
        </w:rPr>
      </w:pPr>
      <w:r w:rsidRPr="00D0206E">
        <w:rPr>
          <w:noProof/>
          <w:color w:val="000000"/>
          <w:sz w:val="22"/>
          <w:szCs w:val="22"/>
        </w:rPr>
        <w:t>Provide a pre-launch BIT capability to verify presence of adequate flight termination back-up activation power and operation of flight termination receiver/decoders.</w:t>
      </w:r>
    </w:p>
    <w:p w14:paraId="71F8A764" w14:textId="77777777" w:rsidR="00C9232E" w:rsidRPr="00D0206E" w:rsidRDefault="00C9232E" w:rsidP="00C9232E">
      <w:pPr>
        <w:rPr>
          <w:rFonts w:eastAsia="Times New Roman" w:cs="Times New Roman"/>
          <w:noProof/>
          <w:color w:val="000000"/>
          <w:sz w:val="22"/>
        </w:rPr>
      </w:pPr>
    </w:p>
    <w:p w14:paraId="6B3AA954"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Shock and Vibration: The MRSS environments must meet CMP3900 Rev B, Appendix E. The FTS components must meet RCC-319 [Ref 1]. RCC-319 typically adds 3-6 db to the expected flight levels. The qualification of the FTS is coordinated with the Range Safety Offices (RSOs) of the ranges where the missile is tested.</w:t>
      </w:r>
    </w:p>
    <w:p w14:paraId="447EDB0D"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Temperature:  Temperature, pressure and other environment requirements are specified in PMA280-1208, para. 3.2.5. </w:t>
      </w:r>
    </w:p>
    <w:p w14:paraId="51A64BFA" w14:textId="77777777" w:rsidR="00C9232E" w:rsidRPr="00D0206E" w:rsidRDefault="00C9232E" w:rsidP="00C34768">
      <w:pPr>
        <w:pStyle w:val="ListParagraph"/>
        <w:numPr>
          <w:ilvl w:val="0"/>
          <w:numId w:val="18"/>
        </w:numPr>
        <w:rPr>
          <w:noProof/>
          <w:color w:val="000000"/>
          <w:sz w:val="22"/>
          <w:szCs w:val="22"/>
        </w:rPr>
      </w:pPr>
      <w:r w:rsidRPr="00D0206E">
        <w:rPr>
          <w:noProof/>
          <w:color w:val="000000"/>
          <w:sz w:val="22"/>
          <w:szCs w:val="22"/>
        </w:rPr>
        <w:t>Material: As specified in PMA280-1208, para. 3.3.1.1.</w:t>
      </w:r>
    </w:p>
    <w:p w14:paraId="73BD8FE2" w14:textId="77777777" w:rsidR="00C9232E" w:rsidRPr="00D0206E" w:rsidRDefault="00C9232E" w:rsidP="00C34768">
      <w:pPr>
        <w:pStyle w:val="ListParagraph"/>
        <w:numPr>
          <w:ilvl w:val="0"/>
          <w:numId w:val="18"/>
        </w:numPr>
        <w:rPr>
          <w:noProof/>
          <w:color w:val="000000"/>
          <w:sz w:val="22"/>
          <w:szCs w:val="22"/>
        </w:rPr>
      </w:pPr>
      <w:r w:rsidRPr="00D0206E">
        <w:rPr>
          <w:noProof/>
          <w:color w:val="000000"/>
          <w:sz w:val="22"/>
          <w:szCs w:val="22"/>
        </w:rPr>
        <w:t>EMI/EMC/Stress:  As specified in PMA280-1208, para. 3.3.2</w:t>
      </w:r>
    </w:p>
    <w:p w14:paraId="4A45B7AE" w14:textId="77777777" w:rsidR="00C9232E" w:rsidRPr="00D0206E" w:rsidRDefault="00C9232E" w:rsidP="00C34768">
      <w:pPr>
        <w:pStyle w:val="ListParagraph"/>
        <w:numPr>
          <w:ilvl w:val="0"/>
          <w:numId w:val="18"/>
        </w:numPr>
        <w:rPr>
          <w:noProof/>
          <w:color w:val="000000"/>
          <w:sz w:val="22"/>
          <w:szCs w:val="22"/>
        </w:rPr>
      </w:pPr>
      <w:r w:rsidRPr="00D0206E">
        <w:rPr>
          <w:noProof/>
          <w:color w:val="000000"/>
          <w:sz w:val="22"/>
          <w:szCs w:val="22"/>
        </w:rPr>
        <w:t>HERO:  As specified in PMA280-1208, para. 3.3.2.3.</w:t>
      </w:r>
    </w:p>
    <w:p w14:paraId="6FA45B4F" w14:textId="77777777" w:rsidR="00C9232E" w:rsidRPr="00D0206E" w:rsidRDefault="00C9232E" w:rsidP="00C34768">
      <w:pPr>
        <w:pStyle w:val="ListParagraph"/>
        <w:numPr>
          <w:ilvl w:val="0"/>
          <w:numId w:val="18"/>
        </w:numPr>
        <w:rPr>
          <w:noProof/>
          <w:color w:val="000000"/>
          <w:sz w:val="22"/>
          <w:szCs w:val="22"/>
        </w:rPr>
      </w:pPr>
      <w:r w:rsidRPr="00D0206E">
        <w:rPr>
          <w:noProof/>
          <w:color w:val="000000"/>
          <w:sz w:val="22"/>
          <w:szCs w:val="22"/>
        </w:rPr>
        <w:t>Built-In-Test (BIT):   PMA280-1208 specifies BIT requirements as follow:</w:t>
      </w:r>
    </w:p>
    <w:p w14:paraId="0F4FE262" w14:textId="77777777" w:rsidR="00C9232E" w:rsidRPr="00D0206E" w:rsidRDefault="00C9232E" w:rsidP="00C34768">
      <w:pPr>
        <w:pStyle w:val="ListParagraph"/>
        <w:numPr>
          <w:ilvl w:val="0"/>
          <w:numId w:val="19"/>
        </w:numPr>
        <w:rPr>
          <w:noProof/>
          <w:color w:val="000000"/>
          <w:sz w:val="22"/>
          <w:szCs w:val="22"/>
        </w:rPr>
      </w:pPr>
      <w:r w:rsidRPr="00D0206E">
        <w:rPr>
          <w:noProof/>
          <w:color w:val="000000"/>
          <w:sz w:val="22"/>
          <w:szCs w:val="22"/>
        </w:rPr>
        <w:t>Para 3.2.1.1.f :  Provide a pre-launch BIT capability to verify presence of adequate flight termination back-up activation power and operation of flight termination receiver/decoders.</w:t>
      </w:r>
    </w:p>
    <w:p w14:paraId="06AC86AC" w14:textId="77777777" w:rsidR="00C9232E" w:rsidRPr="00D0206E" w:rsidRDefault="00C9232E" w:rsidP="00C34768">
      <w:pPr>
        <w:pStyle w:val="ListParagraph"/>
        <w:numPr>
          <w:ilvl w:val="0"/>
          <w:numId w:val="19"/>
        </w:numPr>
        <w:rPr>
          <w:noProof/>
          <w:color w:val="000000"/>
          <w:sz w:val="22"/>
          <w:szCs w:val="22"/>
        </w:rPr>
      </w:pPr>
      <w:r w:rsidRPr="00D0206E">
        <w:rPr>
          <w:noProof/>
          <w:color w:val="000000"/>
          <w:sz w:val="22"/>
          <w:szCs w:val="22"/>
        </w:rPr>
        <w:t>Para 3.2.1.7:  Pre-launch BIT. When powered with pre-launch power, the MRSS system must provide a continuous BIT check until removal of bus power.</w:t>
      </w:r>
    </w:p>
    <w:p w14:paraId="23B72963" w14:textId="77777777" w:rsidR="00C9232E" w:rsidRPr="00D0206E" w:rsidRDefault="00C9232E" w:rsidP="00C34768">
      <w:pPr>
        <w:pStyle w:val="ListParagraph"/>
        <w:numPr>
          <w:ilvl w:val="0"/>
          <w:numId w:val="19"/>
        </w:numPr>
        <w:rPr>
          <w:noProof/>
          <w:color w:val="000000"/>
          <w:sz w:val="22"/>
          <w:szCs w:val="22"/>
        </w:rPr>
      </w:pPr>
      <w:r w:rsidRPr="00D0206E">
        <w:rPr>
          <w:noProof/>
          <w:color w:val="000000"/>
          <w:sz w:val="22"/>
          <w:szCs w:val="22"/>
        </w:rPr>
        <w:t>As a minimum, the MRSS shall monitor the performance of the following items:</w:t>
      </w:r>
    </w:p>
    <w:p w14:paraId="44BB7795" w14:textId="77777777" w:rsidR="00C9232E" w:rsidRPr="00D0206E" w:rsidRDefault="00C9232E" w:rsidP="00C9232E">
      <w:pPr>
        <w:ind w:left="1440"/>
        <w:rPr>
          <w:rFonts w:eastAsia="Times New Roman" w:cs="Times New Roman"/>
          <w:noProof/>
          <w:color w:val="000000"/>
          <w:sz w:val="22"/>
        </w:rPr>
      </w:pPr>
      <w:r w:rsidRPr="00D0206E">
        <w:rPr>
          <w:rFonts w:eastAsia="Times New Roman" w:cs="Times New Roman"/>
          <w:noProof/>
          <w:color w:val="000000"/>
          <w:sz w:val="22"/>
        </w:rPr>
        <w:t>- Flight termination backup activation power.</w:t>
      </w:r>
    </w:p>
    <w:p w14:paraId="66E766F1" w14:textId="77777777" w:rsidR="00C9232E" w:rsidRPr="00D0206E" w:rsidRDefault="00C9232E" w:rsidP="00C9232E">
      <w:pPr>
        <w:ind w:left="1440"/>
        <w:rPr>
          <w:rFonts w:eastAsia="Times New Roman" w:cs="Times New Roman"/>
          <w:noProof/>
          <w:color w:val="000000"/>
          <w:sz w:val="22"/>
        </w:rPr>
      </w:pPr>
      <w:r w:rsidRPr="00D0206E">
        <w:rPr>
          <w:rFonts w:eastAsia="Times New Roman" w:cs="Times New Roman"/>
          <w:noProof/>
          <w:color w:val="000000"/>
          <w:sz w:val="22"/>
        </w:rPr>
        <w:t>- Dual receiver Automatic Gain Control (AGC) voltages.</w:t>
      </w:r>
    </w:p>
    <w:p w14:paraId="56652742" w14:textId="77777777" w:rsidR="00C9232E" w:rsidRPr="00D0206E" w:rsidRDefault="00C9232E" w:rsidP="00C9232E">
      <w:pPr>
        <w:rPr>
          <w:rFonts w:eastAsia="Times New Roman" w:cs="Times New Roman"/>
          <w:noProof/>
          <w:color w:val="000000"/>
          <w:sz w:val="22"/>
        </w:rPr>
      </w:pPr>
    </w:p>
    <w:p w14:paraId="019FE48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(These requirements are only for a pre-launch BIT and not a continuous BIT post-launch – a continuous BIT would be “nice to have” and desirable but is not a hard requirement.)</w:t>
      </w:r>
    </w:p>
    <w:p w14:paraId="6E0F92F7" w14:textId="77777777" w:rsidR="00C9232E" w:rsidRPr="00D0206E" w:rsidRDefault="00C9232E" w:rsidP="00C9232E">
      <w:pPr>
        <w:rPr>
          <w:rFonts w:eastAsia="Times New Roman" w:cs="Times New Roman"/>
          <w:noProof/>
          <w:color w:val="000000"/>
          <w:sz w:val="22"/>
        </w:rPr>
      </w:pPr>
    </w:p>
    <w:p w14:paraId="6686123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FTS must meet RCC-319 as negotiated with the RSOs. Telemetry standards are defined in IRIG Standard 109. C-Band Transponder Standards are defined in RCC 254. If launching from a submarine, S9510-AB-ATM-010 must be followed. For the current MRSS kit, this applies to the Lithium Thermal Battery.</w:t>
      </w:r>
    </w:p>
    <w:p w14:paraId="40753FAA" w14:textId="77777777" w:rsidR="00C9232E" w:rsidRPr="00D0206E" w:rsidRDefault="00C9232E" w:rsidP="00C9232E">
      <w:pPr>
        <w:rPr>
          <w:rFonts w:eastAsia="Times New Roman" w:cs="Times New Roman"/>
          <w:noProof/>
          <w:color w:val="000000"/>
          <w:sz w:val="22"/>
        </w:rPr>
      </w:pPr>
    </w:p>
    <w:p w14:paraId="6D18306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For encryption, the MRSS or certain subsystems thereof must follow NSA requirements and procedures regarding accounting, handling and safeguarding the Controlled Cryptographic Item (CCI) and keys; i.e., the encryption chip is a CCI and key erasure is a required function.</w:t>
      </w:r>
    </w:p>
    <w:p w14:paraId="5404C7FD" w14:textId="77777777" w:rsidR="00C9232E" w:rsidRPr="00D0206E" w:rsidRDefault="00C9232E" w:rsidP="00C9232E">
      <w:pPr>
        <w:rPr>
          <w:rFonts w:eastAsia="Times New Roman" w:cs="Times New Roman"/>
          <w:noProof/>
          <w:color w:val="000000"/>
          <w:sz w:val="22"/>
        </w:rPr>
      </w:pPr>
    </w:p>
    <w:p w14:paraId="56790B2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Asset Recovery:  Whereas the current Tomahawk testing requirement does not include a need to recover the missile by use of a parachute, that capability may be required in the future. Offerors are requested to </w:t>
      </w:r>
      <w:r w:rsidRPr="00D0206E">
        <w:rPr>
          <w:rFonts w:eastAsia="Times New Roman" w:cs="Times New Roman"/>
          <w:noProof/>
          <w:color w:val="000000"/>
          <w:sz w:val="22"/>
        </w:rPr>
        <w:lastRenderedPageBreak/>
        <w:t>consider innovative ways to include that potential capability if possible within the design constraints of the missile. Offerors should consider design options for land and deep-water recovery.</w:t>
      </w:r>
    </w:p>
    <w:p w14:paraId="7CADB3A0" w14:textId="77777777" w:rsidR="00C9232E" w:rsidRPr="00D0206E" w:rsidRDefault="00C9232E" w:rsidP="00C9232E">
      <w:pPr>
        <w:rPr>
          <w:rFonts w:eastAsia="Times New Roman" w:cs="Times New Roman"/>
          <w:noProof/>
          <w:color w:val="000000"/>
          <w:sz w:val="22"/>
        </w:rPr>
      </w:pPr>
    </w:p>
    <w:p w14:paraId="2ED106E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Other Key Requirements:</w:t>
      </w:r>
    </w:p>
    <w:p w14:paraId="24017BB2"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The MRSS may not adversely impact or degrade operational performance of the Tomahawk missile</w:t>
      </w:r>
    </w:p>
    <w:p w14:paraId="67F3179B"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The FTRs must meet redundancy requirements as outlined in RCC-319.</w:t>
      </w:r>
    </w:p>
    <w:p w14:paraId="73DD7B22"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The MRSS must meet MIL-STDs for shock and vibration, environmental, etc.</w:t>
      </w:r>
    </w:p>
    <w:p w14:paraId="12C9C1CA"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The MRSS must ensure that any re-certification requirements of subsystem/parts are not less than 3 years.</w:t>
      </w:r>
    </w:p>
    <w:p w14:paraId="611C0E5D"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Service life must exceed 10 years.</w:t>
      </w:r>
    </w:p>
    <w:p w14:paraId="0C5FF788"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Unit cost must not exceed $1.0M</w:t>
      </w:r>
    </w:p>
    <w:p w14:paraId="58A7C58A" w14:textId="77777777" w:rsidR="00C9232E" w:rsidRPr="00D0206E" w:rsidRDefault="00C9232E" w:rsidP="00C9232E">
      <w:pPr>
        <w:rPr>
          <w:rFonts w:eastAsia="Times New Roman" w:cs="Times New Roman"/>
          <w:noProof/>
          <w:color w:val="000000"/>
          <w:sz w:val="22"/>
        </w:rPr>
      </w:pPr>
    </w:p>
    <w:p w14:paraId="3752349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RSO at each flight test range has ultimate authority on all Flight Terminate System matters. The current MRSS design has an embedded NSA encryption chip within the MRSS and keys utilized for operations that enable telemetry encryption.  What these statements mean is there are two external Program Office organizations that could significantly affect the MRSS design. </w:t>
      </w:r>
    </w:p>
    <w:p w14:paraId="67B98A68" w14:textId="77777777" w:rsidR="00C9232E" w:rsidRPr="00D0206E" w:rsidRDefault="00C9232E" w:rsidP="00C9232E">
      <w:pPr>
        <w:rPr>
          <w:rFonts w:eastAsia="Times New Roman" w:cs="Times New Roman"/>
          <w:noProof/>
          <w:color w:val="000000"/>
          <w:sz w:val="22"/>
        </w:rPr>
      </w:pPr>
    </w:p>
    <w:p w14:paraId="53FF9F08"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084DB4A" w14:textId="77777777" w:rsidR="00C9232E" w:rsidRPr="00D0206E" w:rsidRDefault="00C9232E" w:rsidP="00C9232E">
      <w:pPr>
        <w:rPr>
          <w:rFonts w:eastAsia="Times New Roman" w:cs="Times New Roman"/>
          <w:color w:val="000000"/>
          <w:sz w:val="22"/>
        </w:rPr>
      </w:pPr>
    </w:p>
    <w:p w14:paraId="53DD502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develop, and demonstrate the feasibility of a range safety subsystem that supports flight testing of the Tomahawk Weapons System on capable Government open-air test ranges in accordance with the parameters provided in the Description. The MRSS Spec and the TT-SRD-98-0058 System Safety Program Plan will be provided to the Phase I awardees. The Phase I effort will include prototype plans to be developed under Phase II.</w:t>
      </w:r>
    </w:p>
    <w:p w14:paraId="6C586000" w14:textId="77777777" w:rsidR="00C9232E" w:rsidRPr="00D0206E" w:rsidRDefault="00C9232E" w:rsidP="00C9232E">
      <w:pPr>
        <w:rPr>
          <w:rFonts w:eastAsia="Times New Roman" w:cs="Times New Roman"/>
          <w:color w:val="000000"/>
          <w:sz w:val="22"/>
        </w:rPr>
      </w:pPr>
    </w:p>
    <w:p w14:paraId="1567C18F"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Based on the design developed in Phase I, produce a full-scale, operational prototype of the new MRSS. Develop test procedures for demonstrating and validating MRSS. Demonstrate and validate capability to meet range safety requirements.  </w:t>
      </w:r>
    </w:p>
    <w:p w14:paraId="4879519B" w14:textId="77777777" w:rsidR="00C9232E" w:rsidRPr="00D0206E" w:rsidRDefault="00C9232E" w:rsidP="00C9232E">
      <w:pPr>
        <w:rPr>
          <w:rFonts w:eastAsia="Times New Roman" w:cs="Times New Roman"/>
          <w:noProof/>
          <w:color w:val="000000"/>
          <w:sz w:val="22"/>
        </w:rPr>
      </w:pPr>
    </w:p>
    <w:p w14:paraId="713C8C29"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3AD9ED77" w14:textId="77777777" w:rsidR="00C9232E" w:rsidRPr="00D0206E" w:rsidRDefault="00C9232E" w:rsidP="00C9232E">
      <w:pPr>
        <w:rPr>
          <w:rFonts w:eastAsia="Times New Roman" w:cs="Times New Roman"/>
          <w:color w:val="000000"/>
          <w:sz w:val="22"/>
        </w:rPr>
      </w:pPr>
    </w:p>
    <w:p w14:paraId="5577CFB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Develop and provide a Product Level Technical Data Package according to MIL-STD-31000B for the MRSS that includes applicable drawings and any special tooling. Finalize and transition to applicable programs.</w:t>
      </w:r>
    </w:p>
    <w:p w14:paraId="70685F04" w14:textId="77777777" w:rsidR="00C9232E" w:rsidRPr="00D0206E" w:rsidRDefault="00C9232E" w:rsidP="00C9232E">
      <w:pPr>
        <w:rPr>
          <w:rFonts w:eastAsia="Times New Roman" w:cs="Times New Roman"/>
          <w:noProof/>
          <w:color w:val="000000"/>
          <w:sz w:val="22"/>
        </w:rPr>
      </w:pPr>
    </w:p>
    <w:p w14:paraId="6F121DD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Successful technology development would benefit the commercial flight safety testing industry.</w:t>
      </w:r>
    </w:p>
    <w:p w14:paraId="251028B6" w14:textId="77777777" w:rsidR="00C9232E" w:rsidRPr="00D0206E" w:rsidRDefault="00C9232E" w:rsidP="00C9232E">
      <w:pPr>
        <w:rPr>
          <w:rFonts w:eastAsia="Times New Roman" w:cs="Times New Roman"/>
          <w:color w:val="000000"/>
          <w:sz w:val="22"/>
        </w:rPr>
      </w:pPr>
    </w:p>
    <w:p w14:paraId="77F692F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97157E3" w14:textId="4ACBF984" w:rsidR="00C9232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“Document 319-19, Flight Termination Systems Commonality Standard.” Range Safety Group, Range Commanders Council, White Sands Missile Range, June 2019. </w:t>
      </w:r>
      <w:hyperlink r:id="rId139" w:history="1">
        <w:r w:rsidR="00293B7C" w:rsidRPr="007743A7">
          <w:rPr>
            <w:rStyle w:val="Hyperlink"/>
            <w:rFonts w:eastAsia="Times New Roman" w:cs="Times New Roman"/>
            <w:noProof/>
            <w:sz w:val="22"/>
          </w:rPr>
          <w:t>https://www.wsmr.army.mil/RCCsite/Documents/319-19_FTS_Commonality/319-19_FTS_Commonality.pdf</w:t>
        </w:r>
      </w:hyperlink>
      <w:r w:rsidR="00293B7C">
        <w:rPr>
          <w:rFonts w:eastAsia="Times New Roman" w:cs="Times New Roman"/>
          <w:noProof/>
          <w:color w:val="000000"/>
          <w:sz w:val="22"/>
        </w:rPr>
        <w:t xml:space="preserve"> </w:t>
      </w:r>
    </w:p>
    <w:p w14:paraId="0AD09F46" w14:textId="77777777" w:rsidR="009E55E8" w:rsidRPr="00D0206E" w:rsidRDefault="009E55E8" w:rsidP="00C9232E">
      <w:pPr>
        <w:rPr>
          <w:rFonts w:eastAsia="Times New Roman" w:cs="Times New Roman"/>
          <w:noProof/>
          <w:color w:val="000000"/>
          <w:sz w:val="22"/>
        </w:rPr>
      </w:pPr>
    </w:p>
    <w:p w14:paraId="1C457C01" w14:textId="16A306F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“MIL-STD-31000B, MILITARY STANDARD: TECHNICAL DATA PACKAGE (TDP) (31-OCT-2018).” </w:t>
      </w:r>
      <w:hyperlink r:id="rId140" w:history="1">
        <w:r w:rsidR="00293B7C" w:rsidRPr="007743A7">
          <w:rPr>
            <w:rStyle w:val="Hyperlink"/>
            <w:rFonts w:eastAsia="Times New Roman" w:cs="Times New Roman"/>
            <w:noProof/>
            <w:sz w:val="22"/>
          </w:rPr>
          <w:t>http://everyspec.com/MIL-STD/MIL-STD-10000-and-Up/MIL-STD-31000B_55788/</w:t>
        </w:r>
      </w:hyperlink>
      <w:r w:rsidR="00293B7C">
        <w:rPr>
          <w:rFonts w:eastAsia="Times New Roman" w:cs="Times New Roman"/>
          <w:noProof/>
          <w:color w:val="000000"/>
          <w:sz w:val="22"/>
        </w:rPr>
        <w:t xml:space="preserve"> </w:t>
      </w:r>
    </w:p>
    <w:p w14:paraId="7FC5D92D" w14:textId="77777777" w:rsidR="009E55E8" w:rsidRDefault="009E55E8" w:rsidP="00C9232E">
      <w:pPr>
        <w:rPr>
          <w:rFonts w:eastAsia="Times New Roman" w:cs="Times New Roman"/>
          <w:noProof/>
          <w:color w:val="000000"/>
          <w:sz w:val="22"/>
        </w:rPr>
      </w:pPr>
    </w:p>
    <w:p w14:paraId="2A61B625" w14:textId="3350D2BF" w:rsidR="009E55E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“MIL-STD-1385B, MILITARY STANDARD: PRECLUSION OF ORDNANCE HAZARDS IN ELECTROMAGNETIC FIELDS, GENERAL REQUIREMENTS FOR (01 AUG 1986).” </w:t>
      </w:r>
      <w:hyperlink r:id="rId141" w:history="1">
        <w:r w:rsidR="00293B7C" w:rsidRPr="007743A7">
          <w:rPr>
            <w:rStyle w:val="Hyperlink"/>
            <w:rFonts w:eastAsia="Times New Roman" w:cs="Times New Roman"/>
            <w:noProof/>
            <w:sz w:val="22"/>
          </w:rPr>
          <w:t>http://everyspec.com/MIL-STD/MIL-STD-1300-1399/MIL-STD-1385B_18455/</w:t>
        </w:r>
      </w:hyperlink>
      <w:r w:rsidR="00293B7C">
        <w:rPr>
          <w:rFonts w:eastAsia="Times New Roman" w:cs="Times New Roman"/>
          <w:noProof/>
          <w:color w:val="000000"/>
          <w:sz w:val="22"/>
        </w:rPr>
        <w:t xml:space="preserve"> </w:t>
      </w:r>
    </w:p>
    <w:p w14:paraId="73A1C029" w14:textId="77777777" w:rsidR="009E55E8" w:rsidRDefault="009E55E8" w:rsidP="00C9232E">
      <w:pPr>
        <w:rPr>
          <w:rFonts w:eastAsia="Times New Roman" w:cs="Times New Roman"/>
          <w:noProof/>
          <w:color w:val="000000"/>
          <w:sz w:val="22"/>
        </w:rPr>
      </w:pPr>
    </w:p>
    <w:p w14:paraId="30B2F25A" w14:textId="486F03C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“MIL-STD-1472F, DEPARTMENT OF DEFENSE DESIGN CRITERIA STANDARD: HUMAN ENGINEERING (23 AUG 1999).” </w:t>
      </w:r>
      <w:hyperlink r:id="rId142" w:history="1">
        <w:r w:rsidR="00293B7C" w:rsidRPr="007743A7">
          <w:rPr>
            <w:rStyle w:val="Hyperlink"/>
            <w:rFonts w:eastAsia="Times New Roman" w:cs="Times New Roman"/>
            <w:noProof/>
            <w:sz w:val="22"/>
          </w:rPr>
          <w:t>http://everyspec.com/MIL-STD/MIL-STD-1400-1499/MIL-STD-1472F_208/</w:t>
        </w:r>
      </w:hyperlink>
      <w:r w:rsidR="00293B7C">
        <w:rPr>
          <w:rFonts w:eastAsia="Times New Roman" w:cs="Times New Roman"/>
          <w:noProof/>
          <w:color w:val="000000"/>
          <w:sz w:val="22"/>
        </w:rPr>
        <w:t xml:space="preserve"> </w:t>
      </w:r>
    </w:p>
    <w:p w14:paraId="3DB255C1" w14:textId="77777777" w:rsidR="009E55E8" w:rsidRDefault="009E55E8" w:rsidP="00C9232E">
      <w:pPr>
        <w:rPr>
          <w:rFonts w:eastAsia="Times New Roman" w:cs="Times New Roman"/>
          <w:noProof/>
          <w:color w:val="000000"/>
          <w:sz w:val="22"/>
        </w:rPr>
      </w:pPr>
    </w:p>
    <w:p w14:paraId="32840340" w14:textId="5B80912A" w:rsidR="009E55E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“MIL-HDBK-1512, DEPARTMENT OF DEFENSE HANDBOOK: ELECTRO-EXPLOSIVE SUBSYSTEMS, ELECTRICALLY INITIATED, DESIGN REQUIREMENTS AND TEST METHOD (30 SEP 1997).” </w:t>
      </w:r>
      <w:hyperlink r:id="rId143" w:history="1">
        <w:r w:rsidR="00293B7C" w:rsidRPr="007743A7">
          <w:rPr>
            <w:rStyle w:val="Hyperlink"/>
            <w:rFonts w:eastAsia="Times New Roman" w:cs="Times New Roman"/>
            <w:noProof/>
            <w:sz w:val="22"/>
          </w:rPr>
          <w:t>http://everyspec.com/MIL-HDBK/MIL-HDBK-1500-1799/MIL_HDBK_1512_1843/</w:t>
        </w:r>
      </w:hyperlink>
      <w:r w:rsidR="00293B7C">
        <w:rPr>
          <w:rFonts w:eastAsia="Times New Roman" w:cs="Times New Roman"/>
          <w:noProof/>
          <w:color w:val="000000"/>
          <w:sz w:val="22"/>
        </w:rPr>
        <w:t xml:space="preserve"> </w:t>
      </w:r>
    </w:p>
    <w:p w14:paraId="365D915D" w14:textId="77777777" w:rsidR="009E55E8" w:rsidRDefault="009E55E8" w:rsidP="00C9232E">
      <w:pPr>
        <w:rPr>
          <w:rFonts w:eastAsia="Times New Roman" w:cs="Times New Roman"/>
          <w:noProof/>
          <w:color w:val="000000"/>
          <w:sz w:val="22"/>
        </w:rPr>
      </w:pPr>
    </w:p>
    <w:p w14:paraId="5C08452E" w14:textId="1722983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6. “MIL-I-23659C, MILITARY SPECIFICATION: INITIATORS, ELECTRIC, GENERAL DESIGN SPECIFICATION FOR (31 AUG 1972).”</w:t>
      </w:r>
      <w:r w:rsidR="00293B7C">
        <w:rPr>
          <w:rFonts w:eastAsia="Times New Roman" w:cs="Times New Roman"/>
          <w:noProof/>
          <w:color w:val="000000"/>
          <w:sz w:val="22"/>
        </w:rPr>
        <w:t xml:space="preserve"> </w:t>
      </w:r>
      <w:hyperlink r:id="rId144" w:history="1">
        <w:r w:rsidR="00293B7C" w:rsidRPr="007743A7">
          <w:rPr>
            <w:rStyle w:val="Hyperlink"/>
            <w:rFonts w:eastAsia="Times New Roman" w:cs="Times New Roman"/>
            <w:noProof/>
            <w:sz w:val="22"/>
          </w:rPr>
          <w:t>http://everyspec.com/MIL-SPECS/MIL-SPECS-MIL-I/MIL-I-23659C_31545/</w:t>
        </w:r>
      </w:hyperlink>
      <w:r w:rsidR="00293B7C">
        <w:rPr>
          <w:rFonts w:eastAsia="Times New Roman" w:cs="Times New Roman"/>
          <w:noProof/>
          <w:color w:val="000000"/>
          <w:sz w:val="22"/>
        </w:rPr>
        <w:t xml:space="preserve">    </w:t>
      </w:r>
    </w:p>
    <w:p w14:paraId="4452D16C" w14:textId="77777777" w:rsidR="00C9232E" w:rsidRPr="00D0206E" w:rsidRDefault="00C9232E" w:rsidP="00C9232E">
      <w:pPr>
        <w:rPr>
          <w:rFonts w:eastAsia="Times New Roman" w:cs="Times New Roman"/>
          <w:color w:val="000000"/>
          <w:sz w:val="22"/>
        </w:rPr>
      </w:pPr>
    </w:p>
    <w:p w14:paraId="383902A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Mid-Body Range Safety Subsystem, MRSS, Tomahawk Weapons System, RSEU, Flight Termination, Readiness, Lethality</w:t>
      </w:r>
    </w:p>
    <w:p w14:paraId="7E27F2D8" w14:textId="77777777" w:rsidR="00C9232E" w:rsidRPr="00D0206E" w:rsidRDefault="00C9232E" w:rsidP="00C9232E">
      <w:pPr>
        <w:rPr>
          <w:rFonts w:eastAsia="Times New Roman" w:cs="Times New Roman"/>
          <w:color w:val="000000"/>
          <w:sz w:val="22"/>
        </w:rPr>
      </w:pPr>
    </w:p>
    <w:p w14:paraId="67F68C6A" w14:textId="77777777" w:rsidR="00C9232E" w:rsidRPr="00D0206E" w:rsidRDefault="00C9232E" w:rsidP="00C9232E">
      <w:pPr>
        <w:tabs>
          <w:tab w:val="left" w:pos="1260"/>
        </w:tabs>
        <w:ind w:left="270"/>
        <w:rPr>
          <w:rFonts w:eastAsia="Times New Roman" w:cs="Times New Roman"/>
          <w:color w:val="000000"/>
          <w:sz w:val="22"/>
        </w:rPr>
      </w:pPr>
    </w:p>
    <w:p w14:paraId="78759F50" w14:textId="77777777" w:rsidR="00C9232E" w:rsidRPr="00D0206E" w:rsidRDefault="00C9232E" w:rsidP="00C9232E">
      <w:pPr>
        <w:tabs>
          <w:tab w:val="left" w:pos="1260"/>
        </w:tabs>
        <w:ind w:left="270"/>
        <w:rPr>
          <w:rFonts w:eastAsia="Times New Roman" w:cs="Times New Roman"/>
          <w:color w:val="000000"/>
          <w:sz w:val="22"/>
        </w:rPr>
      </w:pPr>
    </w:p>
    <w:p w14:paraId="536DB3FA" w14:textId="77777777" w:rsidR="00C9232E" w:rsidRPr="00D0206E" w:rsidRDefault="00C9232E" w:rsidP="00C9232E">
      <w:pPr>
        <w:tabs>
          <w:tab w:val="left" w:pos="1260"/>
        </w:tabs>
        <w:ind w:left="270"/>
        <w:rPr>
          <w:rFonts w:eastAsia="Times New Roman" w:cs="Times New Roman"/>
          <w:color w:val="000000"/>
          <w:sz w:val="22"/>
        </w:rPr>
      </w:pPr>
    </w:p>
    <w:p w14:paraId="329E57A9" w14:textId="77777777" w:rsidR="00C9232E" w:rsidRPr="00D0206E" w:rsidRDefault="00C9232E" w:rsidP="00C9232E">
      <w:pPr>
        <w:rPr>
          <w:rFonts w:eastAsia="Times New Roman" w:cs="Times New Roman"/>
          <w:color w:val="000000"/>
          <w:sz w:val="22"/>
        </w:rPr>
      </w:pPr>
    </w:p>
    <w:p w14:paraId="7F95C010" w14:textId="77777777" w:rsidR="00C9232E" w:rsidRPr="00D0206E" w:rsidRDefault="00C9232E" w:rsidP="00C9232E">
      <w:pPr>
        <w:rPr>
          <w:rFonts w:eastAsia="Times New Roman" w:cs="Times New Roman"/>
          <w:color w:val="000000"/>
          <w:sz w:val="22"/>
        </w:rPr>
      </w:pPr>
    </w:p>
    <w:p w14:paraId="2EF62591"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340BF9FA"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N202-114</w:t>
      </w:r>
      <w:r w:rsidRPr="00D0206E">
        <w:rPr>
          <w:rFonts w:eastAsia="Times New Roman" w:cs="Times New Roman"/>
          <w:color w:val="000000"/>
          <w:sz w:val="22"/>
        </w:rPr>
        <w:tab/>
        <w:t xml:space="preserve">TITLE: </w:t>
      </w:r>
      <w:r w:rsidRPr="00D0206E">
        <w:rPr>
          <w:rFonts w:eastAsia="Times New Roman" w:cs="Times New Roman"/>
          <w:noProof/>
          <w:color w:val="000000"/>
          <w:sz w:val="22"/>
        </w:rPr>
        <w:t>High Fidelity Electromagnetic Design, Prediction and Optimization of Airborne Radomes</w:t>
      </w:r>
    </w:p>
    <w:p w14:paraId="4A81BE8A" w14:textId="77777777" w:rsidR="00C9232E" w:rsidRPr="00D0206E" w:rsidRDefault="00C9232E" w:rsidP="00C9232E">
      <w:pPr>
        <w:rPr>
          <w:rFonts w:eastAsia="Times New Roman" w:cs="Times New Roman"/>
          <w:color w:val="000000"/>
          <w:sz w:val="22"/>
        </w:rPr>
      </w:pPr>
    </w:p>
    <w:p w14:paraId="6E77A25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7E9C37F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w:t>
      </w:r>
    </w:p>
    <w:p w14:paraId="4A1B5CCA" w14:textId="77777777" w:rsidR="00C9232E" w:rsidRPr="00D0206E" w:rsidRDefault="00C9232E" w:rsidP="00C9232E">
      <w:pPr>
        <w:rPr>
          <w:rFonts w:eastAsia="Times New Roman" w:cs="Times New Roman"/>
          <w:color w:val="000000"/>
          <w:sz w:val="22"/>
        </w:rPr>
      </w:pPr>
    </w:p>
    <w:p w14:paraId="16C3806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Define and develop a methodology by which high fidelity computation of antenna performance parameters of an installed system is utilized, and then apply that methodology to optimize the design of a radome covering an antenna.</w:t>
      </w:r>
    </w:p>
    <w:p w14:paraId="6522EE00" w14:textId="77777777" w:rsidR="00C9232E" w:rsidRPr="00D0206E" w:rsidRDefault="00C9232E" w:rsidP="00C9232E">
      <w:pPr>
        <w:rPr>
          <w:rFonts w:eastAsia="Times New Roman" w:cs="Times New Roman"/>
          <w:color w:val="000000"/>
          <w:sz w:val="22"/>
        </w:rPr>
      </w:pPr>
    </w:p>
    <w:p w14:paraId="0811616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Currently, the computational tools used to design advanced airborne radomes are limited in their ability to predict and achieve installed performance over the full range of operating conditions [Ref 1]. The design and/or analysis of complex radomes with locally varying curvature and thickness, that incorporate metamaterials or frequency-selective surfaces (FSSs), is especially complex. Only full-wave electromagnetic analysis of the antenna cavity and radome structure can provide the required accuracy in predicting the variations in performance measures such as power transmission and reflection, boresight error, and sidelobe levels over the field of view. Such analyses can also reveal the levels of cross-polarization, grating lobes, and modifications of currents on the antenna structure resulting from electromagnetic coupling among the various structures in the antenna cavity. Providing that they can generate timely and accurate results, high fidelity predictions play a key role in extending the scope and accuracy of the design process for multilayer radome designs having complex internal structure, such as A-sandwich, C-sandwich, Prepreg, honeycomb/foam core, and Rohacell. </w:t>
      </w:r>
    </w:p>
    <w:p w14:paraId="1DD15E84" w14:textId="77777777" w:rsidR="00C9232E" w:rsidRPr="00D0206E" w:rsidRDefault="00C9232E" w:rsidP="00C9232E">
      <w:pPr>
        <w:rPr>
          <w:rFonts w:eastAsia="Times New Roman" w:cs="Times New Roman"/>
          <w:noProof/>
          <w:color w:val="000000"/>
          <w:sz w:val="22"/>
        </w:rPr>
      </w:pPr>
    </w:p>
    <w:p w14:paraId="0423C21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Navy is interested in improving and optimizing the performance of radar systems already installed on Navy aircraft. The design of radomes currently covering such systems are to maximize transparency and beam quality at all viewing angles for in-band operation, and to minimize sidelobe levels. Structural, aerodynamic, and material-property considerations impose constraints that limit the design optimization process. Moreover, the optimization is performed using computational electromagnetics (CEM) tools with inherent approximations of the physical electromagnetic behaviors. Thus, the end-result is a less than optimal system that introduces uncertainties in the radar’s modes. </w:t>
      </w:r>
    </w:p>
    <w:p w14:paraId="6ADA123F" w14:textId="77777777" w:rsidR="00C9232E" w:rsidRPr="00D0206E" w:rsidRDefault="00C9232E" w:rsidP="00C9232E">
      <w:pPr>
        <w:rPr>
          <w:rFonts w:eastAsia="Times New Roman" w:cs="Times New Roman"/>
          <w:noProof/>
          <w:color w:val="000000"/>
          <w:sz w:val="22"/>
        </w:rPr>
      </w:pPr>
    </w:p>
    <w:p w14:paraId="4AFADA9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Recent progress in the development of full-wave electromagnetic solvers provides an opportunity to apply the detailed predictions to optimize actual radome designs [Ref 2]. The goal of this SBIR topic is to establish one or more methodologies based on full-wave solvers that will have the following characteristics:</w:t>
      </w:r>
    </w:p>
    <w:p w14:paraId="149FEB3C" w14:textId="77777777" w:rsidR="00C9232E" w:rsidRPr="00D0206E" w:rsidRDefault="00C9232E" w:rsidP="00C9232E">
      <w:pPr>
        <w:rPr>
          <w:rFonts w:eastAsia="Times New Roman" w:cs="Times New Roman"/>
          <w:noProof/>
          <w:color w:val="000000"/>
          <w:sz w:val="22"/>
        </w:rPr>
      </w:pPr>
    </w:p>
    <w:p w14:paraId="56100841"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t>High fidelity in predicting all operational characteristics of radome-enclosed antenna arrays as installed on Navy aircraft including effects due to interaction with aircraft structures external to the antenna cavity. This entails precise descriptions of the elements and layers comprising the radome, as well as auxiliary structures such as lightning strips and pitot tubes inside the cavity.</w:t>
      </w:r>
    </w:p>
    <w:p w14:paraId="40198CF1"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t xml:space="preserve">Modelling of electrically large radomes that will require advancements in high-order, full-wave solvers in the following areas: </w:t>
      </w:r>
    </w:p>
    <w:p w14:paraId="2F40BF89" w14:textId="77777777" w:rsidR="00C9232E" w:rsidRPr="00D0206E" w:rsidRDefault="00C9232E" w:rsidP="00C34768">
      <w:pPr>
        <w:pStyle w:val="ListParagraph"/>
        <w:numPr>
          <w:ilvl w:val="0"/>
          <w:numId w:val="21"/>
        </w:numPr>
        <w:rPr>
          <w:noProof/>
          <w:color w:val="000000"/>
          <w:sz w:val="22"/>
          <w:szCs w:val="22"/>
        </w:rPr>
      </w:pPr>
      <w:r w:rsidRPr="00D0206E">
        <w:rPr>
          <w:noProof/>
          <w:color w:val="000000"/>
          <w:sz w:val="22"/>
          <w:szCs w:val="22"/>
        </w:rPr>
        <w:t xml:space="preserve">high order curved meshing; </w:t>
      </w:r>
    </w:p>
    <w:p w14:paraId="6200B745" w14:textId="77777777" w:rsidR="00C9232E" w:rsidRPr="00D0206E" w:rsidRDefault="00C9232E" w:rsidP="00C34768">
      <w:pPr>
        <w:pStyle w:val="ListParagraph"/>
        <w:numPr>
          <w:ilvl w:val="0"/>
          <w:numId w:val="21"/>
        </w:numPr>
        <w:rPr>
          <w:noProof/>
          <w:color w:val="000000"/>
          <w:sz w:val="22"/>
          <w:szCs w:val="22"/>
        </w:rPr>
      </w:pPr>
      <w:r w:rsidRPr="00D0206E">
        <w:rPr>
          <w:noProof/>
          <w:color w:val="000000"/>
          <w:sz w:val="22"/>
          <w:szCs w:val="22"/>
        </w:rPr>
        <w:t>cell sizes larger than a wavelength to fill the volume domain with fewer cells</w:t>
      </w:r>
    </w:p>
    <w:p w14:paraId="5083BD5D" w14:textId="77777777" w:rsidR="00C9232E" w:rsidRPr="00D0206E" w:rsidRDefault="00C9232E" w:rsidP="00C34768">
      <w:pPr>
        <w:pStyle w:val="ListParagraph"/>
        <w:numPr>
          <w:ilvl w:val="0"/>
          <w:numId w:val="21"/>
        </w:numPr>
        <w:rPr>
          <w:noProof/>
          <w:color w:val="000000"/>
          <w:sz w:val="22"/>
          <w:szCs w:val="22"/>
        </w:rPr>
      </w:pPr>
      <w:r w:rsidRPr="00D0206E">
        <w:rPr>
          <w:noProof/>
          <w:color w:val="000000"/>
          <w:sz w:val="22"/>
          <w:szCs w:val="22"/>
        </w:rPr>
        <w:t>high-order absorbing boundary conditions (ABC) that can bring the outer boundary very close to the target extruded prism and mixed cells to model very thin radome structures.</w:t>
      </w:r>
    </w:p>
    <w:p w14:paraId="690476D1"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t xml:space="preserve">Effective software support of volumetric grid generation from detailed computer-aided design (CAD) models of all relevant structures. These grids will typically be multi-resolution to model critical details according to the accuracy requirements of the solver. </w:t>
      </w:r>
    </w:p>
    <w:p w14:paraId="6B4F2E8D"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lastRenderedPageBreak/>
        <w:t>Fast execution of the solver and post-processing algorithms on massively parallel computer platforms. This capability is a high priority, as the time and resources available to perform the repeated runs required for optimization are limited.</w:t>
      </w:r>
    </w:p>
    <w:p w14:paraId="57B9D660" w14:textId="77777777" w:rsidR="00C9232E" w:rsidRPr="00D0206E" w:rsidRDefault="00C9232E" w:rsidP="00C34768">
      <w:pPr>
        <w:pStyle w:val="ListParagraph"/>
        <w:numPr>
          <w:ilvl w:val="0"/>
          <w:numId w:val="20"/>
        </w:numPr>
        <w:rPr>
          <w:noProof/>
          <w:color w:val="000000"/>
          <w:sz w:val="22"/>
          <w:szCs w:val="22"/>
        </w:rPr>
      </w:pPr>
      <w:r w:rsidRPr="00D0206E">
        <w:rPr>
          <w:noProof/>
          <w:color w:val="000000"/>
          <w:sz w:val="22"/>
          <w:szCs w:val="22"/>
        </w:rPr>
        <w:t>Development of a highly intuitive and intelligent Graphical User Interface (GUI) to assist the user in all phases of the CEM model development, import, export, preprocessing and post-processing.</w:t>
      </w:r>
    </w:p>
    <w:p w14:paraId="0F620429" w14:textId="77777777" w:rsidR="00C9232E" w:rsidRPr="00D0206E" w:rsidRDefault="00C9232E" w:rsidP="00C34768">
      <w:pPr>
        <w:pStyle w:val="ListParagraph"/>
        <w:numPr>
          <w:ilvl w:val="0"/>
          <w:numId w:val="20"/>
        </w:numPr>
        <w:rPr>
          <w:color w:val="000000"/>
          <w:sz w:val="22"/>
          <w:szCs w:val="22"/>
        </w:rPr>
      </w:pPr>
      <w:r w:rsidRPr="00D0206E">
        <w:rPr>
          <w:noProof/>
          <w:color w:val="000000"/>
          <w:sz w:val="22"/>
          <w:szCs w:val="22"/>
        </w:rPr>
        <w:t>Flexibility in supporting a wide variety of optimization strategies, including genetic algorithms, particle swarms, and surrogates based upon the original design tools [Ref 3].</w:t>
      </w:r>
    </w:p>
    <w:p w14:paraId="3E463FDC" w14:textId="77777777" w:rsidR="00C9232E" w:rsidRPr="00D0206E" w:rsidRDefault="00C9232E" w:rsidP="00C9232E">
      <w:pPr>
        <w:rPr>
          <w:rFonts w:eastAsia="Times New Roman" w:cs="Times New Roman"/>
          <w:color w:val="000000"/>
          <w:sz w:val="22"/>
        </w:rPr>
      </w:pPr>
    </w:p>
    <w:p w14:paraId="280C9FC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develop and demonstrate the feasibility of a methodology to exercise a full-wave CEM code on an approved radome. Evaluate the potential of this software to adjust key details in radome design to improve actual performance metrics for the installed radar system. Demonstrate that the method is able to model various structural and material features of a complex radome. Demonstrate that the code fulfills the requirements 1-6 stated above. If not, make persuasive arguments as to how modification of the code could fulfill these requirements. The Phase I effort will include plans to be developed under Phase II.</w:t>
      </w:r>
    </w:p>
    <w:p w14:paraId="075A92BA" w14:textId="77777777" w:rsidR="00C9232E" w:rsidRPr="00D0206E" w:rsidRDefault="00C9232E" w:rsidP="00C9232E">
      <w:pPr>
        <w:rPr>
          <w:rFonts w:eastAsia="Times New Roman" w:cs="Times New Roman"/>
          <w:color w:val="000000"/>
          <w:sz w:val="22"/>
        </w:rPr>
      </w:pPr>
    </w:p>
    <w:p w14:paraId="38BB9F9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Validate and mature the approach from Phase I. Develop optimization and design approaches to improve radome performance with installed antennas and interaction with neighboring structures.  Develop a GUI that encompasses the entire computational process, including: preprocessing tools for geometry import and generation of high order curved elements, high order processing tools, and a comprehensive set of post processing tools for data output and visualization.</w:t>
      </w:r>
    </w:p>
    <w:p w14:paraId="10E662A3" w14:textId="77777777" w:rsidR="00C9232E" w:rsidRPr="00D0206E" w:rsidRDefault="00C9232E" w:rsidP="00C9232E">
      <w:pPr>
        <w:rPr>
          <w:rFonts w:eastAsia="Times New Roman" w:cs="Times New Roman"/>
          <w:color w:val="000000"/>
          <w:sz w:val="22"/>
        </w:rPr>
      </w:pPr>
    </w:p>
    <w:p w14:paraId="7162C79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Complete the development of the CEM software application. Perform final testing and transition into use on applicable platforms. The CEM software application will have a widespread use in the DoD, industry and academia for the design, optimization, and/or analysis of highly complex radomes and electromagnetic problems.  The aerospace industry as well as universities such as Massachusetts Institute of Technology (MIT), The Ohio State University (OSU) and California Poly-Technical Institute (Cal Tech) could all benefit from, or be interested in, the resulting technology.</w:t>
      </w:r>
    </w:p>
    <w:p w14:paraId="758F53BA" w14:textId="77777777" w:rsidR="00C9232E" w:rsidRPr="00D0206E" w:rsidRDefault="00C9232E" w:rsidP="00C9232E">
      <w:pPr>
        <w:rPr>
          <w:rFonts w:eastAsia="Times New Roman" w:cs="Times New Roman"/>
          <w:color w:val="000000"/>
          <w:sz w:val="22"/>
        </w:rPr>
      </w:pPr>
    </w:p>
    <w:p w14:paraId="168BF43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223CBC1" w14:textId="3634F63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Nair, R. &amp; Jha, R. “Electromagnetic Design and Performance Analysis of Airborne Radomes: Trends and Perspectives [Antenna Applications Corner].” IEEE Antennas and Propagation Magazine, Volume 56, Issue 4, 2014, pp. 276-298. </w:t>
      </w:r>
      <w:hyperlink r:id="rId145" w:history="1">
        <w:r w:rsidR="00D06239" w:rsidRPr="007743A7">
          <w:rPr>
            <w:rStyle w:val="Hyperlink"/>
            <w:rFonts w:eastAsia="Times New Roman" w:cs="Times New Roman"/>
            <w:noProof/>
            <w:sz w:val="22"/>
          </w:rPr>
          <w:t>https://ieeexplore.ieee.org/document/6931715</w:t>
        </w:r>
      </w:hyperlink>
      <w:r w:rsidR="00D06239">
        <w:rPr>
          <w:rFonts w:eastAsia="Times New Roman" w:cs="Times New Roman"/>
          <w:noProof/>
          <w:color w:val="000000"/>
          <w:sz w:val="22"/>
        </w:rPr>
        <w:t xml:space="preserve"> </w:t>
      </w:r>
    </w:p>
    <w:p w14:paraId="5EB44E90" w14:textId="77777777" w:rsidR="006460A0" w:rsidRDefault="006460A0" w:rsidP="00C9232E">
      <w:pPr>
        <w:rPr>
          <w:rFonts w:eastAsia="Times New Roman" w:cs="Times New Roman"/>
          <w:noProof/>
          <w:color w:val="000000"/>
          <w:sz w:val="22"/>
        </w:rPr>
      </w:pPr>
    </w:p>
    <w:p w14:paraId="024C5753" w14:textId="6DB6A69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Vukovic, A., Sewell, P. &amp; Benson, T. “Holistic Appraisal of Modeling Installed Antennas for Aerospace Applications.” IEEE Transactions on Antennas and Propagation, 2019, pp. 1396-1409. </w:t>
      </w:r>
      <w:hyperlink r:id="rId146" w:history="1">
        <w:r w:rsidR="00D06239" w:rsidRPr="007743A7">
          <w:rPr>
            <w:rStyle w:val="Hyperlink"/>
            <w:rFonts w:eastAsia="Times New Roman" w:cs="Times New Roman"/>
            <w:noProof/>
            <w:sz w:val="22"/>
          </w:rPr>
          <w:t>https://ieeexplore.ieee.org/document/8558592</w:t>
        </w:r>
      </w:hyperlink>
      <w:r w:rsidR="00D06239">
        <w:rPr>
          <w:rFonts w:eastAsia="Times New Roman" w:cs="Times New Roman"/>
          <w:noProof/>
          <w:color w:val="000000"/>
          <w:sz w:val="22"/>
        </w:rPr>
        <w:t xml:space="preserve"> </w:t>
      </w:r>
    </w:p>
    <w:p w14:paraId="43260341" w14:textId="77777777" w:rsidR="006460A0" w:rsidRDefault="006460A0" w:rsidP="00C9232E">
      <w:pPr>
        <w:rPr>
          <w:rFonts w:eastAsia="Times New Roman" w:cs="Times New Roman"/>
          <w:noProof/>
          <w:color w:val="000000"/>
          <w:sz w:val="22"/>
        </w:rPr>
      </w:pPr>
    </w:p>
    <w:p w14:paraId="45BEC512" w14:textId="3012D46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Massa, A. &amp; Salucci, M. “Dealing with Complexity in Electromagnetics Through the System-by-Design Paradigm - New Strategies and Applications to the Design of Airborne Radomes.” 2018 IEEE Symposium on Antennas and Propagation &amp; USNC/URSI National Radio Science Meeting, Boston MA, pp. 529-530). </w:t>
      </w:r>
      <w:hyperlink r:id="rId147" w:history="1">
        <w:r w:rsidR="00D06239" w:rsidRPr="007743A7">
          <w:rPr>
            <w:rStyle w:val="Hyperlink"/>
            <w:rFonts w:eastAsia="Times New Roman" w:cs="Times New Roman"/>
            <w:noProof/>
            <w:sz w:val="22"/>
          </w:rPr>
          <w:t>https://ieeexplore.ieee.org/document/8609182</w:t>
        </w:r>
      </w:hyperlink>
      <w:r w:rsidR="00D06239">
        <w:rPr>
          <w:rFonts w:eastAsia="Times New Roman" w:cs="Times New Roman"/>
          <w:noProof/>
          <w:color w:val="000000"/>
          <w:sz w:val="22"/>
        </w:rPr>
        <w:t xml:space="preserve"> </w:t>
      </w:r>
    </w:p>
    <w:p w14:paraId="429B2D0A" w14:textId="77777777" w:rsidR="00C9232E" w:rsidRPr="00D0206E" w:rsidRDefault="00C9232E" w:rsidP="00C9232E">
      <w:pPr>
        <w:rPr>
          <w:rFonts w:eastAsia="Times New Roman" w:cs="Times New Roman"/>
          <w:color w:val="000000"/>
          <w:sz w:val="22"/>
        </w:rPr>
      </w:pPr>
    </w:p>
    <w:p w14:paraId="561BBFE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Computational Electromagnetics, Radomes, Frequency Selective Surfaces, Curved Surfaces, Software Application, Aerospace.</w:t>
      </w:r>
    </w:p>
    <w:p w14:paraId="019D267C" w14:textId="77777777" w:rsidR="00C9232E" w:rsidRPr="00D0206E" w:rsidRDefault="00C9232E" w:rsidP="00C9232E">
      <w:pPr>
        <w:rPr>
          <w:rFonts w:eastAsia="Times New Roman" w:cs="Times New Roman"/>
          <w:color w:val="000000"/>
          <w:sz w:val="22"/>
        </w:rPr>
      </w:pPr>
    </w:p>
    <w:p w14:paraId="044264C6"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0220B715"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N202-115</w:t>
      </w:r>
      <w:r w:rsidRPr="00D0206E">
        <w:rPr>
          <w:rFonts w:eastAsia="Times New Roman" w:cs="Times New Roman"/>
          <w:color w:val="000000"/>
          <w:sz w:val="22"/>
        </w:rPr>
        <w:tab/>
        <w:t xml:space="preserve">TITLE: </w:t>
      </w:r>
      <w:r w:rsidRPr="00D0206E">
        <w:rPr>
          <w:rFonts w:eastAsia="Times New Roman" w:cs="Times New Roman"/>
          <w:noProof/>
          <w:color w:val="000000"/>
          <w:sz w:val="22"/>
        </w:rPr>
        <w:t>Monolithic Dual-Band Quantum Cascade Laser</w:t>
      </w:r>
    </w:p>
    <w:p w14:paraId="3C1C481E" w14:textId="77777777" w:rsidR="00C9232E" w:rsidRPr="00D0206E" w:rsidRDefault="00C9232E" w:rsidP="00C9232E">
      <w:pPr>
        <w:rPr>
          <w:rFonts w:eastAsia="Times New Roman" w:cs="Times New Roman"/>
          <w:color w:val="000000"/>
          <w:sz w:val="22"/>
        </w:rPr>
      </w:pPr>
    </w:p>
    <w:p w14:paraId="2407762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Quantum, Directed Energy</w:t>
      </w:r>
    </w:p>
    <w:p w14:paraId="4D4D6D9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w:t>
      </w:r>
    </w:p>
    <w:p w14:paraId="2E714FFC" w14:textId="77777777" w:rsidR="00C9232E" w:rsidRPr="00D0206E" w:rsidRDefault="00C9232E" w:rsidP="00C9232E">
      <w:pPr>
        <w:rPr>
          <w:rFonts w:eastAsia="Times New Roman" w:cs="Times New Roman"/>
          <w:color w:val="000000"/>
          <w:sz w:val="22"/>
        </w:rPr>
      </w:pPr>
    </w:p>
    <w:p w14:paraId="4C16372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B4E0339" w14:textId="77777777" w:rsidR="00C9232E" w:rsidRPr="00D0206E" w:rsidRDefault="00C9232E" w:rsidP="00C9232E">
      <w:pPr>
        <w:rPr>
          <w:rFonts w:eastAsia="Times New Roman" w:cs="Times New Roman"/>
          <w:color w:val="000000"/>
          <w:sz w:val="22"/>
        </w:rPr>
      </w:pPr>
    </w:p>
    <w:p w14:paraId="4ADE5C7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monolithic dual-band quantum cascade laser platform with almost beam diffraction limited output power &gt;3 Watts each in the 4.6-5 and 3.6-4.2 micrometer bands.</w:t>
      </w:r>
    </w:p>
    <w:p w14:paraId="4F8D9133" w14:textId="77777777" w:rsidR="00C9232E" w:rsidRPr="00D0206E" w:rsidRDefault="00C9232E" w:rsidP="00C9232E">
      <w:pPr>
        <w:rPr>
          <w:rFonts w:eastAsia="Times New Roman" w:cs="Times New Roman"/>
          <w:color w:val="000000"/>
          <w:sz w:val="22"/>
        </w:rPr>
      </w:pPr>
    </w:p>
    <w:p w14:paraId="0508412D"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High-power, cost-effective, compact, and reliable mid-wave infrared (MWIR) Quantum Cascade Laser (QCL) platforms operating in the continuous wave (CW) regime are highly desirable for current and future Navy applications. Individual QCLs emitting within the 4.6-5 micrometer wavelength band with about 5 Watts CW output power and a wall-plug efficiency of about 20% at room temperature (RT) have been demonstrated [Ref. 1]. There is another, shorter MWIR spectral band between 3.6 and 4.2 micrometers [Ref. 2] that is also of interest for Naval applications. The atmospheric transmission in this band is about 45% to 50% higher than that of the 4.6-5 micron spectral band. Currently both QCLs emitting in both of the MWIR bands are beam-combined using external optical elements for current Naval applications.</w:t>
      </w:r>
    </w:p>
    <w:p w14:paraId="28B90130" w14:textId="77777777" w:rsidR="00C9232E" w:rsidRPr="00D0206E" w:rsidRDefault="00C9232E" w:rsidP="00C9232E">
      <w:pPr>
        <w:rPr>
          <w:rFonts w:eastAsia="Times New Roman" w:cs="Times New Roman"/>
          <w:noProof/>
          <w:color w:val="000000"/>
          <w:sz w:val="22"/>
        </w:rPr>
      </w:pPr>
    </w:p>
    <w:p w14:paraId="5C6F5DD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While the current external beam combination configuration’s size and weight may be adequate for current platform applications, other aerial platforms such as compact rotary-wing aircraft and/or smaller unmanned aerial vehicles can benefit from a laser source that is at least 20 times smaller and lighter. A monolithic laser chip platform with a single optical output aperture emitting in both wave bands using a single laser driver electronics would minimize the overall laser size, weight, and cost as stated in the specifications below. Therefore, the goal of this SBIR topic is to develop a monolithic dual-band QCL-based source that meets the following performance specifications:</w:t>
      </w:r>
    </w:p>
    <w:p w14:paraId="3770AF71"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 xml:space="preserve">Room-temperature CW optical power over 3W each in the 4.6-5 and 3.6-4.2 micrometer bands </w:t>
      </w:r>
    </w:p>
    <w:p w14:paraId="790758D1"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QCL package volume less 1 cm3</w:t>
      </w:r>
    </w:p>
    <w:p w14:paraId="29E730CE"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QCL package weight less than 100 grams</w:t>
      </w:r>
    </w:p>
    <w:p w14:paraId="25481173"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Wallplug efficiency exceeding 15%</w:t>
      </w:r>
    </w:p>
    <w:p w14:paraId="58D22E9C" w14:textId="77777777" w:rsidR="00C9232E" w:rsidRPr="00D0206E" w:rsidRDefault="00C9232E" w:rsidP="00C34768">
      <w:pPr>
        <w:pStyle w:val="ListParagraph"/>
        <w:numPr>
          <w:ilvl w:val="0"/>
          <w:numId w:val="22"/>
        </w:numPr>
        <w:rPr>
          <w:noProof/>
          <w:color w:val="000000"/>
          <w:sz w:val="22"/>
          <w:szCs w:val="22"/>
        </w:rPr>
      </w:pPr>
      <w:r w:rsidRPr="00D0206E">
        <w:rPr>
          <w:noProof/>
          <w:color w:val="000000"/>
          <w:sz w:val="22"/>
          <w:szCs w:val="22"/>
        </w:rPr>
        <w:t>Almost diffraction limited beam quality factor with M2 &lt; 1.5</w:t>
      </w:r>
    </w:p>
    <w:p w14:paraId="1252FB9A" w14:textId="77777777" w:rsidR="00C9232E" w:rsidRPr="00D0206E" w:rsidRDefault="00C9232E" w:rsidP="00C9232E">
      <w:pPr>
        <w:rPr>
          <w:rFonts w:eastAsia="Times New Roman" w:cs="Times New Roman"/>
          <w:noProof/>
          <w:color w:val="000000"/>
          <w:sz w:val="22"/>
        </w:rPr>
      </w:pPr>
    </w:p>
    <w:p w14:paraId="148B1020"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Priority will be given to solutions minimizing weight and size, while meeting the optical power and efficiency requirement.</w:t>
      </w:r>
    </w:p>
    <w:p w14:paraId="35F6528C" w14:textId="77777777" w:rsidR="00C9232E" w:rsidRPr="00D0206E" w:rsidRDefault="00C9232E" w:rsidP="00C9232E">
      <w:pPr>
        <w:rPr>
          <w:rFonts w:eastAsia="Times New Roman" w:cs="Times New Roman"/>
          <w:color w:val="000000"/>
          <w:sz w:val="22"/>
        </w:rPr>
      </w:pPr>
    </w:p>
    <w:p w14:paraId="45C9A42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and demonstrate the feasibility of a viable, robust, and manufacturable design for a single dual-band QCL source that meets or exceeds the requirements specified. Identify technological and reliability challenges of the design approach, and propose viable risk mitigation strategies.  The Phase I effort will include prototype plans to be developed in Phase II.</w:t>
      </w:r>
    </w:p>
    <w:p w14:paraId="63ABE142" w14:textId="77777777" w:rsidR="00C9232E" w:rsidRPr="00D0206E" w:rsidRDefault="00C9232E" w:rsidP="00C9232E">
      <w:pPr>
        <w:rPr>
          <w:rFonts w:eastAsia="Times New Roman" w:cs="Times New Roman"/>
          <w:color w:val="000000"/>
          <w:sz w:val="22"/>
        </w:rPr>
      </w:pPr>
    </w:p>
    <w:p w14:paraId="53ED806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II: </w:t>
      </w:r>
      <w:r w:rsidRPr="00D0206E">
        <w:rPr>
          <w:rFonts w:eastAsia="Times New Roman" w:cs="Times New Roman"/>
          <w:noProof/>
          <w:color w:val="000000"/>
          <w:sz w:val="22"/>
        </w:rPr>
        <w:t>Design, fabricate, and demonstrate a packaged dual-band laser prototype based on the design from Phase I. Test and fully characterize the laser prototype to assess its performance. Report performance results.</w:t>
      </w:r>
    </w:p>
    <w:p w14:paraId="59650BE6" w14:textId="77777777" w:rsidR="00C9232E" w:rsidRPr="00D0206E" w:rsidRDefault="00C9232E" w:rsidP="00C9232E">
      <w:pPr>
        <w:rPr>
          <w:rFonts w:eastAsia="Times New Roman" w:cs="Times New Roman"/>
          <w:color w:val="000000"/>
          <w:sz w:val="22"/>
        </w:rPr>
      </w:pPr>
    </w:p>
    <w:p w14:paraId="14864DC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Fully develop and transition the high performance QCL with the specifications stated in Phase II for DoD applications in the areas of Directed Infrared Countermeasures, advanced chemicals sensors, and Laser Detection and Ranging. The DoD has a need for advanced, compact, high performance MWIR QCL In Band IVA (3.8–4.1 micron) and Band IVB (4.6–5) micrometer bands combined emissions from a single laser aperture that can be readily scaled via beam combining for current and future generation DIRCMs, LIDARs, and chemicals/explosives sensing. The commercial sector can also benefit from this crucial, game-changing technology development in the areas of detection of toxic gases, environmental monitoring, and non-invasive health monitoring and sensing.</w:t>
      </w:r>
    </w:p>
    <w:p w14:paraId="7F6268E3" w14:textId="77777777" w:rsidR="00C9232E" w:rsidRPr="00D0206E" w:rsidRDefault="00C9232E" w:rsidP="00C9232E">
      <w:pPr>
        <w:rPr>
          <w:rFonts w:eastAsia="Times New Roman" w:cs="Times New Roman"/>
          <w:color w:val="000000"/>
          <w:sz w:val="22"/>
        </w:rPr>
      </w:pPr>
    </w:p>
    <w:p w14:paraId="7D5EC2F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376BBEA0" w14:textId="04FB3BD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Bai, Y., Bandyopadhyay, N., Tsao, S., Slivken, S. &amp; Razeghi, M. “Room Temperature Quantum Cascade Lasers with 27% Wall Plug Efficiency.” Applied Physics Letters, 2011. </w:t>
      </w:r>
      <w:hyperlink r:id="rId148" w:history="1">
        <w:r w:rsidR="002E37EF" w:rsidRPr="007743A7">
          <w:rPr>
            <w:rStyle w:val="Hyperlink"/>
            <w:rFonts w:eastAsia="Times New Roman" w:cs="Times New Roman"/>
            <w:noProof/>
            <w:sz w:val="22"/>
          </w:rPr>
          <w:t>https://www.scholars.northwestern.edu/en/publications/room-temperature-quantum-cascade-lasers-with-27-wall-plug-efficie</w:t>
        </w:r>
      </w:hyperlink>
      <w:r w:rsidR="002E37EF">
        <w:rPr>
          <w:rFonts w:eastAsia="Times New Roman" w:cs="Times New Roman"/>
          <w:noProof/>
          <w:color w:val="000000"/>
          <w:sz w:val="22"/>
        </w:rPr>
        <w:t xml:space="preserve"> </w:t>
      </w:r>
    </w:p>
    <w:p w14:paraId="54AC7437" w14:textId="77777777" w:rsidR="006460A0" w:rsidRDefault="006460A0" w:rsidP="00C9232E">
      <w:pPr>
        <w:rPr>
          <w:rFonts w:eastAsia="Times New Roman" w:cs="Times New Roman"/>
          <w:noProof/>
          <w:color w:val="000000"/>
          <w:sz w:val="22"/>
        </w:rPr>
      </w:pPr>
    </w:p>
    <w:p w14:paraId="3B7CE20F" w14:textId="4D566CC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Lyakh, A., Maulini, R., Tsekoun, A., Go, R., Von der Porten, S., Pflugl, C., . . . and Patel, C. “High-Performance Continuous-Wave Room Temperature 4.0-µm Quantum Cascade Lasers with Single-Facet Optical Emission Exceeding 2 W.” Proceedings of the National Academy of Sciences of the United States of America, 2010. </w:t>
      </w:r>
      <w:hyperlink r:id="rId149" w:history="1">
        <w:r w:rsidR="002E37EF" w:rsidRPr="007743A7">
          <w:rPr>
            <w:rStyle w:val="Hyperlink"/>
            <w:rFonts w:eastAsia="Times New Roman" w:cs="Times New Roman"/>
            <w:noProof/>
            <w:sz w:val="22"/>
          </w:rPr>
          <w:t>https://www.ncbi.nlm.nih.gov/pmc/articles/PMC2973916/</w:t>
        </w:r>
      </w:hyperlink>
      <w:r w:rsidR="002E37EF">
        <w:rPr>
          <w:rFonts w:eastAsia="Times New Roman" w:cs="Times New Roman"/>
          <w:noProof/>
          <w:color w:val="000000"/>
          <w:sz w:val="22"/>
        </w:rPr>
        <w:t xml:space="preserve"> </w:t>
      </w:r>
    </w:p>
    <w:p w14:paraId="40F91C6F" w14:textId="77777777" w:rsidR="00C9232E" w:rsidRPr="00D0206E" w:rsidRDefault="00C9232E" w:rsidP="00C9232E">
      <w:pPr>
        <w:rPr>
          <w:rFonts w:eastAsia="Times New Roman" w:cs="Times New Roman"/>
          <w:color w:val="000000"/>
          <w:sz w:val="22"/>
        </w:rPr>
      </w:pPr>
    </w:p>
    <w:p w14:paraId="2FC4B70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Quantum Cascade Lasers, QCL, Band IVA, Band IVB, 3.8 Micron, 4.1 Micron, 4.6 Micron, Midwave-Infrared, Laser Array</w:t>
      </w:r>
    </w:p>
    <w:p w14:paraId="28AD4B53" w14:textId="77777777" w:rsidR="00C9232E" w:rsidRPr="00D0206E" w:rsidRDefault="00C9232E" w:rsidP="00C9232E">
      <w:pPr>
        <w:rPr>
          <w:rFonts w:eastAsia="Times New Roman" w:cs="Times New Roman"/>
          <w:color w:val="000000"/>
          <w:sz w:val="22"/>
        </w:rPr>
      </w:pPr>
    </w:p>
    <w:p w14:paraId="5216ADB3" w14:textId="77777777" w:rsidR="00C9232E" w:rsidRPr="00D0206E" w:rsidRDefault="00C9232E" w:rsidP="00C9232E">
      <w:pPr>
        <w:tabs>
          <w:tab w:val="left" w:pos="1260"/>
        </w:tabs>
        <w:ind w:left="270"/>
        <w:rPr>
          <w:rFonts w:eastAsia="Times New Roman" w:cs="Times New Roman"/>
          <w:color w:val="000000"/>
          <w:sz w:val="22"/>
        </w:rPr>
      </w:pPr>
    </w:p>
    <w:p w14:paraId="4B1292AE" w14:textId="77777777" w:rsidR="00C9232E" w:rsidRPr="00D0206E" w:rsidRDefault="00C9232E" w:rsidP="00C9232E">
      <w:pPr>
        <w:tabs>
          <w:tab w:val="left" w:pos="1260"/>
        </w:tabs>
        <w:ind w:left="270"/>
        <w:rPr>
          <w:rFonts w:eastAsia="Times New Roman" w:cs="Times New Roman"/>
          <w:color w:val="000000"/>
          <w:sz w:val="22"/>
        </w:rPr>
      </w:pPr>
    </w:p>
    <w:p w14:paraId="2291F135" w14:textId="77777777" w:rsidR="00C9232E" w:rsidRPr="00D0206E" w:rsidRDefault="00C9232E" w:rsidP="00C9232E">
      <w:pPr>
        <w:tabs>
          <w:tab w:val="left" w:pos="1260"/>
        </w:tabs>
        <w:ind w:left="270"/>
        <w:rPr>
          <w:rFonts w:eastAsia="Times New Roman" w:cs="Times New Roman"/>
          <w:color w:val="000000"/>
          <w:sz w:val="22"/>
        </w:rPr>
      </w:pPr>
    </w:p>
    <w:p w14:paraId="53DF497B" w14:textId="77777777" w:rsidR="00C9232E" w:rsidRPr="00D0206E" w:rsidRDefault="00C9232E" w:rsidP="00C9232E">
      <w:pPr>
        <w:rPr>
          <w:rFonts w:eastAsia="Times New Roman" w:cs="Times New Roman"/>
          <w:color w:val="000000"/>
          <w:sz w:val="22"/>
        </w:rPr>
      </w:pPr>
    </w:p>
    <w:p w14:paraId="3812DB9C" w14:textId="77777777" w:rsidR="00C9232E" w:rsidRPr="00D0206E" w:rsidRDefault="00C9232E" w:rsidP="00C9232E">
      <w:pPr>
        <w:rPr>
          <w:rFonts w:eastAsia="Times New Roman" w:cs="Times New Roman"/>
          <w:color w:val="000000"/>
          <w:sz w:val="22"/>
        </w:rPr>
      </w:pPr>
    </w:p>
    <w:p w14:paraId="467FC70A"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2F039C88" w14:textId="2E5C04DC"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N202-116</w:t>
      </w:r>
      <w:r w:rsidRPr="00D0206E">
        <w:rPr>
          <w:rFonts w:eastAsia="Times New Roman" w:cs="Times New Roman"/>
          <w:color w:val="000000"/>
          <w:sz w:val="22"/>
        </w:rPr>
        <w:tab/>
      </w:r>
      <w:r w:rsidR="00467A7F" w:rsidRPr="00467A7F">
        <w:rPr>
          <w:rFonts w:eastAsia="Times New Roman" w:cs="Times New Roman"/>
          <w:noProof/>
          <w:color w:val="000000"/>
          <w:sz w:val="22"/>
        </w:rPr>
        <w:t>[Navy has removed topic N202-1</w:t>
      </w:r>
      <w:r w:rsidR="00467A7F">
        <w:rPr>
          <w:rFonts w:eastAsia="Times New Roman" w:cs="Times New Roman"/>
          <w:noProof/>
          <w:color w:val="000000"/>
          <w:sz w:val="22"/>
        </w:rPr>
        <w:t>16</w:t>
      </w:r>
      <w:r w:rsidR="00467A7F" w:rsidRPr="00467A7F">
        <w:rPr>
          <w:rFonts w:eastAsia="Times New Roman" w:cs="Times New Roman"/>
          <w:noProof/>
          <w:color w:val="000000"/>
          <w:sz w:val="22"/>
        </w:rPr>
        <w:t xml:space="preserve"> from the 20.2 SBIR BAA]</w:t>
      </w:r>
    </w:p>
    <w:p w14:paraId="3898D557" w14:textId="77777777" w:rsidR="00C9232E" w:rsidRPr="00D0206E" w:rsidRDefault="00C9232E" w:rsidP="00C9232E">
      <w:pPr>
        <w:rPr>
          <w:rFonts w:eastAsia="Times New Roman" w:cs="Times New Roman"/>
          <w:color w:val="000000"/>
          <w:sz w:val="22"/>
        </w:rPr>
      </w:pPr>
    </w:p>
    <w:p w14:paraId="547D8C52" w14:textId="77777777" w:rsidR="00C9232E" w:rsidRPr="00D0206E" w:rsidRDefault="00C9232E" w:rsidP="00C9232E">
      <w:pPr>
        <w:rPr>
          <w:rFonts w:eastAsia="Times New Roman" w:cs="Times New Roman"/>
          <w:color w:val="000000"/>
          <w:sz w:val="22"/>
        </w:rPr>
      </w:pPr>
    </w:p>
    <w:p w14:paraId="6F7CF776" w14:textId="77777777" w:rsidR="00C9232E" w:rsidRPr="00D0206E" w:rsidRDefault="00C9232E" w:rsidP="00C9232E">
      <w:pPr>
        <w:rPr>
          <w:rFonts w:eastAsia="Times New Roman" w:cs="Times New Roman"/>
          <w:color w:val="000000"/>
          <w:sz w:val="22"/>
        </w:rPr>
      </w:pPr>
    </w:p>
    <w:p w14:paraId="282E5A43"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1549818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N202-117</w:t>
      </w:r>
      <w:r w:rsidRPr="00D0206E">
        <w:rPr>
          <w:rFonts w:eastAsia="Times New Roman" w:cs="Times New Roman"/>
          <w:color w:val="000000"/>
          <w:sz w:val="22"/>
        </w:rPr>
        <w:tab/>
        <w:t xml:space="preserve">TITLE: </w:t>
      </w:r>
      <w:r w:rsidRPr="00D0206E">
        <w:rPr>
          <w:rFonts w:eastAsia="Times New Roman" w:cs="Times New Roman"/>
          <w:noProof/>
          <w:color w:val="000000"/>
          <w:sz w:val="22"/>
        </w:rPr>
        <w:t>Optimized Subtractive Manufacturing - Right Parts, Right Time, Every Time</w:t>
      </w:r>
    </w:p>
    <w:p w14:paraId="3FF9D814" w14:textId="77777777" w:rsidR="00C9232E" w:rsidRPr="00D0206E" w:rsidRDefault="00C9232E" w:rsidP="00C9232E">
      <w:pPr>
        <w:rPr>
          <w:rFonts w:eastAsia="Times New Roman" w:cs="Times New Roman"/>
          <w:color w:val="000000"/>
          <w:sz w:val="22"/>
        </w:rPr>
      </w:pPr>
    </w:p>
    <w:p w14:paraId="6EE3432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1F94A28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Ground Sea, Weapons</w:t>
      </w:r>
    </w:p>
    <w:p w14:paraId="242C3A69" w14:textId="77777777" w:rsidR="00C9232E" w:rsidRPr="00D0206E" w:rsidRDefault="00C9232E" w:rsidP="00C9232E">
      <w:pPr>
        <w:rPr>
          <w:rFonts w:eastAsia="Times New Roman" w:cs="Times New Roman"/>
          <w:color w:val="000000"/>
          <w:sz w:val="22"/>
        </w:rPr>
      </w:pPr>
    </w:p>
    <w:p w14:paraId="4FC9A36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the ability to produce optimized (strength/stiffness/weight) part geometry, using lathes and milling machines as constraints, to feed Computer Aided Manufacturing (CAM) software for machining centers.</w:t>
      </w:r>
    </w:p>
    <w:p w14:paraId="058EE81D" w14:textId="77777777" w:rsidR="00C9232E" w:rsidRPr="00D0206E" w:rsidRDefault="00C9232E" w:rsidP="00C9232E">
      <w:pPr>
        <w:rPr>
          <w:rFonts w:eastAsia="Times New Roman" w:cs="Times New Roman"/>
          <w:color w:val="000000"/>
          <w:sz w:val="22"/>
        </w:rPr>
      </w:pPr>
    </w:p>
    <w:p w14:paraId="566B4267"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Currently, optimization software develops a mesh-based output for optimized parts. The user inputs the various parameters (required strength, stiffness, or weight) and the optimization code calculates the topology to meet the user requirements. This mesh-based output is not generally in a format directly usable to create a part by either additive manufacturing or subtractive manufacturing. For additive manufacturing, a second software suite is needed to process the mesh-based output into usable format to produce the part. The mesh-based output is unusable for subtractive manufacturing without significant engineering input.  </w:t>
      </w:r>
    </w:p>
    <w:p w14:paraId="6BDF4727" w14:textId="77777777" w:rsidR="00C9232E" w:rsidRPr="00D0206E" w:rsidRDefault="00C9232E" w:rsidP="00C9232E">
      <w:pPr>
        <w:rPr>
          <w:rFonts w:eastAsia="Times New Roman" w:cs="Times New Roman"/>
          <w:noProof/>
          <w:color w:val="000000"/>
          <w:sz w:val="22"/>
        </w:rPr>
      </w:pPr>
    </w:p>
    <w:p w14:paraId="6FB985E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Additively manufactured components have an advantage of being able to be created in complex shapes, which are unable to be made using subtractive methods. However, the use of multi-axis numerical control subtractive manufacturing machines allows similarly complex shapes to be created. The issue for subtractive based manufacturing centers around tool-path and access (e.g., can the tool get into a space and move in the same space).</w:t>
      </w:r>
    </w:p>
    <w:p w14:paraId="3B539829" w14:textId="77777777" w:rsidR="00C9232E" w:rsidRPr="00D0206E" w:rsidRDefault="00C9232E" w:rsidP="00C9232E">
      <w:pPr>
        <w:rPr>
          <w:rFonts w:eastAsia="Times New Roman" w:cs="Times New Roman"/>
          <w:noProof/>
          <w:color w:val="000000"/>
          <w:sz w:val="22"/>
        </w:rPr>
      </w:pPr>
    </w:p>
    <w:p w14:paraId="1101264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disadvantage of additive manufacturing is that both the process and material must be qualified and tested together in order to provide sufficient properties to be evaluated for airworthiness. Unlike additive manufacturing, components manufactured by subtractive manufacturing can be evaluated for airworthiness quickly by analysis. Analysis of subtractive manufactured components requires material properties from the manufacturer and part geometry in order to be evaluated for airworthiness. </w:t>
      </w:r>
    </w:p>
    <w:p w14:paraId="7425386B" w14:textId="77777777" w:rsidR="00C9232E" w:rsidRPr="00D0206E" w:rsidRDefault="00C9232E" w:rsidP="00C9232E">
      <w:pPr>
        <w:rPr>
          <w:rFonts w:eastAsia="Times New Roman" w:cs="Times New Roman"/>
          <w:noProof/>
          <w:color w:val="000000"/>
          <w:sz w:val="22"/>
        </w:rPr>
      </w:pPr>
    </w:p>
    <w:p w14:paraId="52F25289"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This SBIR topic seeks to combine the strengths of material qualification associated with subtractive manufacturing and the benefits of optimization software to provide the best possible parts in the least amount of time. To accomplish these goals, the Navy seeks the development of a software package that performs optimization for strength, stiffness, and weight as goals while using machinability as a constraint. The output from the Computer Aided Design (CAD) in the form of a common platform independent file type (e.g., Parasolid, Standard for the Exchange of Product model data (STEP), Initial Graphics Exchange Specification (IGES), or ACIS). The output geometry should be optimized for the chosen objective and be machinable by multi-axis mill and/or lathe.</w:t>
      </w:r>
    </w:p>
    <w:p w14:paraId="355540BD" w14:textId="77777777" w:rsidR="00C9232E" w:rsidRPr="00D0206E" w:rsidRDefault="00C9232E" w:rsidP="00C9232E">
      <w:pPr>
        <w:rPr>
          <w:rFonts w:eastAsia="Times New Roman" w:cs="Times New Roman"/>
          <w:color w:val="000000"/>
          <w:sz w:val="22"/>
        </w:rPr>
      </w:pPr>
    </w:p>
    <w:p w14:paraId="22A16CE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and develop a software to analyze/optimize a component for a particular objective (e.g. strength or stiffness or weight). Demonstrate the feasibility of the software to constrain the analysis/optimization using a multi-axis subtractive machine as a constraint (i.e. the component must manufactured on a multi-axis mill or lathe). The Phase I will include prototype plans to be developed in Phase II.</w:t>
      </w:r>
    </w:p>
    <w:p w14:paraId="25DA9B87" w14:textId="77777777" w:rsidR="00C9232E" w:rsidRPr="00D0206E" w:rsidRDefault="00C9232E" w:rsidP="00C9232E">
      <w:pPr>
        <w:rPr>
          <w:rFonts w:eastAsia="Times New Roman" w:cs="Times New Roman"/>
          <w:color w:val="000000"/>
          <w:sz w:val="22"/>
        </w:rPr>
      </w:pPr>
    </w:p>
    <w:p w14:paraId="4E8D4ED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Develop and prototype the software design from Phase I and demonstrate its ability to analyze/optimize a component for multiple objectives (e.g., strength and stiffness). The software should constrain the analysis/optimization using a multi-axis subtractive machine as a constraint (i.e., the component must be manufactured on a multi-axis mill and/or lathe). Additionally, the software should incorporate “machinability” or ease/speed of manufacturing as a constraint. Lastly, use a design as agreed upon between the United States Navy and the performer to demonstrate the software, ending with the fabrication of a component optimized for strength, stiffness and/or weight to be made on a multi-axis mill </w:t>
      </w:r>
      <w:r w:rsidRPr="00D0206E">
        <w:rPr>
          <w:rFonts w:eastAsia="Times New Roman" w:cs="Times New Roman"/>
          <w:noProof/>
          <w:color w:val="000000"/>
          <w:sz w:val="22"/>
        </w:rPr>
        <w:lastRenderedPageBreak/>
        <w:t>and/or lathe.  The output of the software will be a CAD file(s) of neutral file type (i.e., Parasolid, STEP, IGES, or ACIS) . The output geometry should be optimized for the chosen objectives (strength, stiffness, and/or weight) and be machinable by a multi-axis mill and/or lathe.</w:t>
      </w:r>
    </w:p>
    <w:p w14:paraId="1E15EB1E" w14:textId="77777777" w:rsidR="00C9232E" w:rsidRPr="00D0206E" w:rsidRDefault="00C9232E" w:rsidP="00C9232E">
      <w:pPr>
        <w:rPr>
          <w:rFonts w:eastAsia="Times New Roman" w:cs="Times New Roman"/>
          <w:color w:val="000000"/>
          <w:sz w:val="22"/>
        </w:rPr>
      </w:pPr>
    </w:p>
    <w:p w14:paraId="49E9980B"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Validate previously developed parts optimized for multiple objectives through mechanical testing. Develop an interface to accept imported geometry from other CAD software packages. Develop a stand-alone interface or interface with an existing software company’s package (e.g., Solidworks, ANSYS, ABAQUS, and/or Altair).</w:t>
      </w:r>
    </w:p>
    <w:p w14:paraId="217AB60A" w14:textId="77777777" w:rsidR="00C9232E" w:rsidRPr="00D0206E" w:rsidRDefault="00C9232E" w:rsidP="00C9232E">
      <w:pPr>
        <w:rPr>
          <w:rFonts w:eastAsia="Times New Roman" w:cs="Times New Roman"/>
          <w:noProof/>
          <w:color w:val="000000"/>
          <w:sz w:val="22"/>
        </w:rPr>
      </w:pPr>
    </w:p>
    <w:p w14:paraId="7BA6618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Successful development of this technology would benefit manufacturers and would speed the development of machined products, greatly reducing design cycles, and optimizing the performance of machined components for all industries. Both the aerospace industry and personal electronics manufacturing sector would benefit from this technology development.</w:t>
      </w:r>
    </w:p>
    <w:p w14:paraId="38F7F486" w14:textId="77777777" w:rsidR="00C9232E" w:rsidRPr="00D0206E" w:rsidRDefault="00C9232E" w:rsidP="00C9232E">
      <w:pPr>
        <w:rPr>
          <w:rFonts w:eastAsia="Times New Roman" w:cs="Times New Roman"/>
          <w:color w:val="000000"/>
          <w:sz w:val="22"/>
        </w:rPr>
      </w:pPr>
    </w:p>
    <w:p w14:paraId="1B6C7DF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2C2A2D6D" w14:textId="68D03AC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Liu, J. &amp; To, A. C. “Topology optimization for hybrid additive-subtractive manufacturing.” Structural and Multidisciplinary Optimization, Volume 55, Issue 4, 2016, pp. 1281-1299. </w:t>
      </w:r>
      <w:hyperlink r:id="rId150" w:history="1">
        <w:r w:rsidR="004C0772" w:rsidRPr="007743A7">
          <w:rPr>
            <w:rStyle w:val="Hyperlink"/>
            <w:rFonts w:eastAsia="Times New Roman" w:cs="Times New Roman"/>
            <w:noProof/>
            <w:sz w:val="22"/>
          </w:rPr>
          <w:t>https://par.nsf.gov/servlets/purl/10026127</w:t>
        </w:r>
      </w:hyperlink>
      <w:r w:rsidR="004C0772">
        <w:rPr>
          <w:rFonts w:eastAsia="Times New Roman" w:cs="Times New Roman"/>
          <w:noProof/>
          <w:color w:val="000000"/>
          <w:sz w:val="22"/>
        </w:rPr>
        <w:t xml:space="preserve"> </w:t>
      </w:r>
    </w:p>
    <w:p w14:paraId="651AEA4D" w14:textId="77777777" w:rsidR="003E12BB" w:rsidRDefault="003E12BB" w:rsidP="00C9232E">
      <w:pPr>
        <w:rPr>
          <w:rFonts w:eastAsia="Times New Roman" w:cs="Times New Roman"/>
          <w:noProof/>
          <w:color w:val="000000"/>
          <w:sz w:val="22"/>
        </w:rPr>
      </w:pPr>
    </w:p>
    <w:p w14:paraId="691D7241" w14:textId="5A3B275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Zuo, K.T., Chen, L.P., Zhang, Y.Q., &amp; Yang, J. “Manufacturing- and machining-based topology optimization.” The International Journal of Advanced Manufacturing Technology, Volume 27, Issue 5-6, 2005, pp. 531-536. </w:t>
      </w:r>
      <w:hyperlink r:id="rId151" w:history="1">
        <w:r w:rsidR="004C0772" w:rsidRPr="007743A7">
          <w:rPr>
            <w:rStyle w:val="Hyperlink"/>
            <w:rFonts w:eastAsia="Times New Roman" w:cs="Times New Roman"/>
            <w:noProof/>
            <w:sz w:val="22"/>
          </w:rPr>
          <w:t>https://link.springer.com/article/10.1007/s00170-004-2210-8</w:t>
        </w:r>
      </w:hyperlink>
      <w:r w:rsidR="004C0772">
        <w:rPr>
          <w:rFonts w:eastAsia="Times New Roman" w:cs="Times New Roman"/>
          <w:noProof/>
          <w:color w:val="000000"/>
          <w:sz w:val="22"/>
        </w:rPr>
        <w:t xml:space="preserve"> </w:t>
      </w:r>
    </w:p>
    <w:p w14:paraId="29B528A4" w14:textId="77777777" w:rsidR="00C9232E" w:rsidRPr="00D0206E" w:rsidRDefault="00C9232E" w:rsidP="00C9232E">
      <w:pPr>
        <w:rPr>
          <w:rFonts w:eastAsia="Times New Roman" w:cs="Times New Roman"/>
          <w:color w:val="000000"/>
          <w:sz w:val="22"/>
        </w:rPr>
      </w:pPr>
    </w:p>
    <w:p w14:paraId="25E4ED2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Optimization, Machining, Modeling, Simulation, Design, Manufacturing</w:t>
      </w:r>
    </w:p>
    <w:p w14:paraId="5A6BA9C4" w14:textId="77777777" w:rsidR="00C9232E" w:rsidRPr="00D0206E" w:rsidRDefault="00C9232E" w:rsidP="00C9232E">
      <w:pPr>
        <w:rPr>
          <w:rFonts w:eastAsia="Times New Roman" w:cs="Times New Roman"/>
          <w:color w:val="000000"/>
          <w:sz w:val="22"/>
        </w:rPr>
      </w:pPr>
    </w:p>
    <w:p w14:paraId="126E1690" w14:textId="77777777" w:rsidR="00C9232E" w:rsidRPr="00D0206E" w:rsidRDefault="00C9232E" w:rsidP="00C9232E">
      <w:pPr>
        <w:tabs>
          <w:tab w:val="left" w:pos="1260"/>
        </w:tabs>
        <w:ind w:left="270"/>
        <w:rPr>
          <w:rFonts w:eastAsia="Times New Roman" w:cs="Times New Roman"/>
          <w:color w:val="000000"/>
          <w:sz w:val="22"/>
        </w:rPr>
      </w:pPr>
    </w:p>
    <w:p w14:paraId="24644D22" w14:textId="77777777" w:rsidR="00C9232E" w:rsidRPr="00D0206E" w:rsidRDefault="00C9232E" w:rsidP="00C9232E">
      <w:pPr>
        <w:tabs>
          <w:tab w:val="left" w:pos="1260"/>
        </w:tabs>
        <w:ind w:left="270"/>
        <w:rPr>
          <w:rFonts w:eastAsia="Times New Roman" w:cs="Times New Roman"/>
          <w:color w:val="000000"/>
          <w:sz w:val="22"/>
        </w:rPr>
      </w:pPr>
    </w:p>
    <w:p w14:paraId="36EFDB62" w14:textId="77777777" w:rsidR="00C9232E" w:rsidRPr="00D0206E" w:rsidRDefault="00C9232E" w:rsidP="00C9232E">
      <w:pPr>
        <w:rPr>
          <w:rFonts w:eastAsia="Times New Roman" w:cs="Times New Roman"/>
          <w:color w:val="000000"/>
          <w:sz w:val="22"/>
        </w:rPr>
      </w:pPr>
    </w:p>
    <w:p w14:paraId="2AC003C3" w14:textId="77777777" w:rsidR="00C9232E" w:rsidRPr="00D0206E" w:rsidRDefault="00C9232E" w:rsidP="00C9232E">
      <w:pPr>
        <w:rPr>
          <w:rFonts w:eastAsia="Times New Roman" w:cs="Times New Roman"/>
          <w:color w:val="000000"/>
          <w:sz w:val="22"/>
        </w:rPr>
      </w:pPr>
    </w:p>
    <w:p w14:paraId="235D1C6B" w14:textId="77777777" w:rsidR="00C9232E" w:rsidRPr="00D0206E" w:rsidRDefault="00C9232E" w:rsidP="00C9232E">
      <w:pPr>
        <w:rPr>
          <w:sz w:val="22"/>
        </w:rPr>
        <w:sectPr w:rsidR="00C9232E" w:rsidRPr="00D0206E" w:rsidSect="005618B4">
          <w:pgSz w:w="12240" w:h="15840"/>
          <w:pgMar w:top="1440" w:right="1440" w:bottom="1440" w:left="1440" w:header="720" w:footer="720" w:gutter="0"/>
          <w:cols w:space="720"/>
          <w:docGrid w:linePitch="360"/>
        </w:sectPr>
      </w:pPr>
    </w:p>
    <w:p w14:paraId="461800C6"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N202-118</w:t>
      </w:r>
      <w:r w:rsidRPr="00D0206E">
        <w:rPr>
          <w:rFonts w:eastAsia="Times New Roman" w:cs="Times New Roman"/>
          <w:color w:val="000000"/>
          <w:sz w:val="22"/>
        </w:rPr>
        <w:tab/>
        <w:t xml:space="preserve">TITLE: </w:t>
      </w:r>
      <w:r w:rsidRPr="00D0206E">
        <w:rPr>
          <w:rFonts w:eastAsia="Times New Roman" w:cs="Times New Roman"/>
          <w:noProof/>
          <w:color w:val="000000"/>
          <w:sz w:val="22"/>
        </w:rPr>
        <w:t>Passive System for Detection and Identification of UAVs Using Multispectral/Hyperspectral Imaging Technologies</w:t>
      </w:r>
    </w:p>
    <w:p w14:paraId="21E285D9" w14:textId="77777777" w:rsidR="00C9232E" w:rsidRPr="00D0206E" w:rsidRDefault="00C9232E" w:rsidP="00C9232E">
      <w:pPr>
        <w:rPr>
          <w:rFonts w:eastAsia="Times New Roman" w:cs="Times New Roman"/>
          <w:color w:val="000000"/>
          <w:sz w:val="22"/>
        </w:rPr>
      </w:pPr>
    </w:p>
    <w:p w14:paraId="0A35881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Artificial Intelligence/ Machine Learning, General Warfighting Requirements (GWR)</w:t>
      </w:r>
    </w:p>
    <w:p w14:paraId="42B36F7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w:t>
      </w:r>
    </w:p>
    <w:p w14:paraId="78C710A6" w14:textId="77777777" w:rsidR="00C9232E" w:rsidRPr="00D0206E" w:rsidRDefault="00C9232E" w:rsidP="00C9232E">
      <w:pPr>
        <w:rPr>
          <w:rFonts w:eastAsia="Times New Roman" w:cs="Times New Roman"/>
          <w:noProof/>
          <w:color w:val="000000"/>
          <w:sz w:val="22"/>
        </w:rPr>
      </w:pPr>
    </w:p>
    <w:p w14:paraId="07D69EE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9ABB4A" w14:textId="77777777" w:rsidR="00C9232E" w:rsidRPr="00D0206E" w:rsidRDefault="00C9232E" w:rsidP="00C9232E">
      <w:pPr>
        <w:rPr>
          <w:rFonts w:eastAsia="Times New Roman" w:cs="Times New Roman"/>
          <w:color w:val="000000"/>
          <w:sz w:val="22"/>
        </w:rPr>
      </w:pPr>
    </w:p>
    <w:p w14:paraId="7E0FE8A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and demonstrate a passive multispectral/hyperspectral imaging system that can identify unmanned aerial vehicles (UAVs) with high probability of detection and low probability of false alarms by exploiting the unique combined signatures in both spatial and spectral domains.</w:t>
      </w:r>
    </w:p>
    <w:p w14:paraId="435C9E7D" w14:textId="77777777" w:rsidR="00C9232E" w:rsidRPr="00D0206E" w:rsidRDefault="00C9232E" w:rsidP="00C9232E">
      <w:pPr>
        <w:rPr>
          <w:rFonts w:eastAsia="Times New Roman" w:cs="Times New Roman"/>
          <w:color w:val="000000"/>
          <w:sz w:val="22"/>
        </w:rPr>
      </w:pPr>
    </w:p>
    <w:p w14:paraId="53390331"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 proliferation of the use of unmanned aerial vehicles (UAVs) of various sizes and shapes for defense, commerce, monitoring, and other applications has increased at a very expeditious pace. Along with their advantages in ease of operation and low cost, the widespread availability of UAVs has posed significant security threats in both defense and civilian arenas.</w:t>
      </w:r>
    </w:p>
    <w:p w14:paraId="4D3C4A36" w14:textId="77777777" w:rsidR="00C9232E" w:rsidRPr="00D0206E" w:rsidRDefault="00C9232E" w:rsidP="00C9232E">
      <w:pPr>
        <w:rPr>
          <w:rFonts w:eastAsia="Times New Roman" w:cs="Times New Roman"/>
          <w:noProof/>
          <w:color w:val="000000"/>
          <w:sz w:val="22"/>
        </w:rPr>
      </w:pPr>
    </w:p>
    <w:p w14:paraId="1CF7EA8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Various approaches have been explored to interdict UAVs [Refs 1-3]. However, these interdiction strategies typically presume that the drone has already been detected. As part of the effective UAV threat mitigation, it is first necessary to have the ability to detect and track UAVs in the airspace. Straightforward adoption of currently fielded airspace surveillance technologies will not suffice as UAVs are much smaller in physical size and fly slowly at lower altitudes. For instance, a conventional air surveillance radar system (operating at L-band or S-band) rely on the radar cross section (RCS) of an aircraft for detection, but this may not always provide reliable detection in case of UAVs. Even if a dedicated system is sensitive enough to detect an object like a small UAV, just RCS information alone is not adequate. Some birds are similar in physical size to small UAVs and fly at similar altitudes and speeds. Visual detection of UAVs does not effectively discriminate between a small UAV, a bird or a plastic bag caught in the wind.</w:t>
      </w:r>
    </w:p>
    <w:p w14:paraId="6DED5957" w14:textId="77777777" w:rsidR="00C9232E" w:rsidRPr="00D0206E" w:rsidRDefault="00C9232E" w:rsidP="00C9232E">
      <w:pPr>
        <w:rPr>
          <w:rFonts w:eastAsia="Times New Roman" w:cs="Times New Roman"/>
          <w:noProof/>
          <w:color w:val="000000"/>
          <w:sz w:val="22"/>
        </w:rPr>
      </w:pPr>
    </w:p>
    <w:p w14:paraId="45895B10" w14:textId="130BFBE3"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Recent technological advances have made long-wave infrared (LWIR) and mid-wave infrared (MWIR) hyperspectral imaging (HSI) in the 3-5 and 8-12 micrometer wavelength ranges a viable technology in many demanding military application areas where materials can be identified by their spectral signatures. Further, LWIR spectral range offers advantages that are unmatched by the visible and short-wave infrared range as LWIR is not susceptible to performance degradation from scattering by water-based aerosols, dense fog and clouds in the atmosphere. Hence, the operational utility of LWIR and MWIR HSI for detection, recognition and identification of hard-to-detect targets in environments cluttered with background noise is especially critical. HSI sensors provide image data containing both spatial and spectral information. The spectral information offers the additional modality to address such detection tasks that are unachievable by spatial information alone. The spectral information of an HSI stems from the fact that the amount of radiation reflected, absorbed, or emitted - i.e., the radiance - varies with wavelength. HSI sensors measure the radiance of the materials within each image pixel area over a very large number of contiguous spectral wavelength bands.</w:t>
      </w:r>
    </w:p>
    <w:p w14:paraId="4177436A" w14:textId="77777777" w:rsidR="00C9232E" w:rsidRPr="00D0206E" w:rsidRDefault="00C9232E" w:rsidP="00C9232E">
      <w:pPr>
        <w:rPr>
          <w:rFonts w:eastAsia="Times New Roman" w:cs="Times New Roman"/>
          <w:noProof/>
          <w:color w:val="000000"/>
          <w:sz w:val="22"/>
        </w:rPr>
      </w:pPr>
    </w:p>
    <w:p w14:paraId="176201BE"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It is the objective of this program to explore and develop MWIR and LWIR HSI technologies for the detection, acquisition and tracking of a UAV or UAVs during counter UAV surveillance that cannot otherwise be detected using more conventional imaging or radar. The goal is to perform an exploration and investigation of both MWIR and LWIR hyperspectral signatures of UAVs against various environmental backgrounds, such  as sky backgrounds both in day time and night time, to design an effective detection and tracking algorithm with high probability of detection and low probability of false alarm at a range up to 10 km. The detection and identification algorithm should be combined with system designs that employ either innovative sensors or commercial off-the-shelf (COTS) systems. The result should be an effective UAV detection and identification algorithm based on MWIR and LWIR HSI systems with probability of detection more than 90% and probability of false alarm less than 10% at the detection range up to 10 km even at the presence of common atmospheric obscurants, such as fog, clouds and aerosols, where atmospheric obscurants can reduce the visible transmission coefficient at detection distance down to less than 10% relative to that in vacuum. The identification algorithm of the system should incorporate a library of UAVs that will keep pace with those that are available.</w:t>
      </w:r>
    </w:p>
    <w:p w14:paraId="25E98D66" w14:textId="77777777" w:rsidR="00C9232E" w:rsidRPr="00D0206E" w:rsidRDefault="00C9232E" w:rsidP="00C9232E">
      <w:pPr>
        <w:rPr>
          <w:rFonts w:eastAsia="Times New Roman" w:cs="Times New Roman"/>
          <w:color w:val="000000"/>
          <w:sz w:val="22"/>
        </w:rPr>
      </w:pPr>
    </w:p>
    <w:p w14:paraId="0BE23E7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document and demonstrate feasibility of a detection and tracking algorithm based on the combined LWIR and MWIR HSI systems of the developer’s choice that meet or exceed the requirements specified in the Description. Identify the technical risk elements in the detection and tracking algorithm design and provide viable risk mitigation strategies. The Phase I effort will include prototype plans to be developed under Phase II.</w:t>
      </w:r>
    </w:p>
    <w:p w14:paraId="018284B1" w14:textId="77777777" w:rsidR="00C9232E" w:rsidRPr="00D0206E" w:rsidRDefault="00C9232E" w:rsidP="00C9232E">
      <w:pPr>
        <w:rPr>
          <w:rFonts w:eastAsia="Times New Roman" w:cs="Times New Roman"/>
          <w:color w:val="000000"/>
          <w:sz w:val="22"/>
        </w:rPr>
      </w:pPr>
    </w:p>
    <w:p w14:paraId="072935A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Construct, develop, and demonstrate a combined HSI system with the associated detection/tracking algorithm based on the design from Phase I. Conduct quantitative measurements and analysis of the system prototype and assess system performance against the stated requirements. Prepare a report that summarizes the experimental evaluation and validation of the performance characteristics of the developed system.</w:t>
      </w:r>
    </w:p>
    <w:p w14:paraId="52FBCF63" w14:textId="77777777" w:rsidR="00C9232E" w:rsidRPr="00D0206E" w:rsidRDefault="00C9232E" w:rsidP="00C9232E">
      <w:pPr>
        <w:rPr>
          <w:rFonts w:eastAsia="Times New Roman" w:cs="Times New Roman"/>
          <w:color w:val="000000"/>
          <w:sz w:val="22"/>
        </w:rPr>
      </w:pPr>
    </w:p>
    <w:p w14:paraId="214FE32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Fully develop and transition the technology and methodology based on the research and development results developed during Phase II for DOD applications in the areas of UAV detection and identification, and other anomaly surveillance and reconnaissance applications.</w:t>
      </w:r>
    </w:p>
    <w:p w14:paraId="10C9B9E4" w14:textId="77777777" w:rsidR="00C9232E" w:rsidRPr="00D0206E" w:rsidRDefault="00C9232E" w:rsidP="00C9232E">
      <w:pPr>
        <w:rPr>
          <w:rFonts w:eastAsia="Times New Roman" w:cs="Times New Roman"/>
          <w:noProof/>
          <w:color w:val="000000"/>
          <w:sz w:val="22"/>
        </w:rPr>
      </w:pPr>
    </w:p>
    <w:p w14:paraId="25ED233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Commercialize the detection and identification technology for commercial aviation enhanced vision, chemicals/explosives sensing, detection of toxic gases, environmental monitoring, and non-invasive health monitoring and sensing.</w:t>
      </w:r>
    </w:p>
    <w:p w14:paraId="156BCD98" w14:textId="77777777" w:rsidR="00C9232E" w:rsidRPr="00D0206E" w:rsidRDefault="00C9232E" w:rsidP="00C9232E">
      <w:pPr>
        <w:rPr>
          <w:rFonts w:eastAsia="Times New Roman" w:cs="Times New Roman"/>
          <w:color w:val="000000"/>
          <w:sz w:val="22"/>
        </w:rPr>
      </w:pPr>
    </w:p>
    <w:p w14:paraId="63BAFBE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797CD9A" w14:textId="0C20650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Pringle, C. “US Marines to Test Drone-Killing Laser Weapons.” Defense News, Sightline Media Group, June 19, 2019. </w:t>
      </w:r>
      <w:hyperlink r:id="rId152" w:history="1">
        <w:r w:rsidR="004C0772" w:rsidRPr="007743A7">
          <w:rPr>
            <w:rStyle w:val="Hyperlink"/>
            <w:rFonts w:eastAsia="Times New Roman" w:cs="Times New Roman"/>
            <w:noProof/>
            <w:sz w:val="22"/>
          </w:rPr>
          <w:t>https://www.defensenews.com/industry/techwatch/2019/06/19/us-marines-to-test-drone-killing-laser-weapon/</w:t>
        </w:r>
      </w:hyperlink>
      <w:r w:rsidR="004C0772">
        <w:rPr>
          <w:rFonts w:eastAsia="Times New Roman" w:cs="Times New Roman"/>
          <w:noProof/>
          <w:color w:val="000000"/>
          <w:sz w:val="22"/>
        </w:rPr>
        <w:t xml:space="preserve"> </w:t>
      </w:r>
    </w:p>
    <w:p w14:paraId="689DAE3B" w14:textId="77777777" w:rsidR="003E12BB" w:rsidRDefault="003E12BB" w:rsidP="00C9232E">
      <w:pPr>
        <w:rPr>
          <w:rFonts w:eastAsia="Times New Roman" w:cs="Times New Roman"/>
          <w:noProof/>
          <w:color w:val="000000"/>
          <w:sz w:val="22"/>
        </w:rPr>
      </w:pPr>
    </w:p>
    <w:p w14:paraId="75B78461" w14:textId="7335C17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Williams, R. “Tokyo Police are Using Drones with Nets to Catch Other Drones.” The Telegraph, 11 December 2015. </w:t>
      </w:r>
      <w:hyperlink r:id="rId153" w:history="1">
        <w:r w:rsidR="004C0772" w:rsidRPr="007743A7">
          <w:rPr>
            <w:rStyle w:val="Hyperlink"/>
            <w:rFonts w:eastAsia="Times New Roman" w:cs="Times New Roman"/>
            <w:noProof/>
            <w:sz w:val="22"/>
          </w:rPr>
          <w:t>https://www.telegraph.co.uk/technology/2016/01/21/tokyo-police-are-using-drones-with-nets-to-catch-other-drones/</w:t>
        </w:r>
      </w:hyperlink>
      <w:r w:rsidR="004C0772">
        <w:rPr>
          <w:rFonts w:eastAsia="Times New Roman" w:cs="Times New Roman"/>
          <w:noProof/>
          <w:color w:val="000000"/>
          <w:sz w:val="22"/>
        </w:rPr>
        <w:t xml:space="preserve"> </w:t>
      </w:r>
    </w:p>
    <w:p w14:paraId="771AB777" w14:textId="77777777" w:rsidR="003E12BB" w:rsidRDefault="003E12BB" w:rsidP="00C9232E">
      <w:pPr>
        <w:rPr>
          <w:rFonts w:eastAsia="Times New Roman" w:cs="Times New Roman"/>
          <w:noProof/>
          <w:color w:val="000000"/>
          <w:sz w:val="22"/>
        </w:rPr>
      </w:pPr>
    </w:p>
    <w:p w14:paraId="1C5E6B9C" w14:textId="2C31DBE3"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Liptak, A. “A US Ally Shot Down a $200 Drone with a $3 Million Patriot Missile.” The Verge, March 16, 2017. </w:t>
      </w:r>
      <w:hyperlink r:id="rId154" w:history="1">
        <w:r w:rsidR="004C0772" w:rsidRPr="007743A7">
          <w:rPr>
            <w:rStyle w:val="Hyperlink"/>
            <w:rFonts w:eastAsia="Times New Roman" w:cs="Times New Roman"/>
            <w:noProof/>
            <w:sz w:val="22"/>
          </w:rPr>
          <w:t>https://www.theverge.com/2017/3/16/14944256/patriot-missile-shot-down-consumer-drone-us-military</w:t>
        </w:r>
      </w:hyperlink>
      <w:r w:rsidR="004C0772">
        <w:rPr>
          <w:rFonts w:eastAsia="Times New Roman" w:cs="Times New Roman"/>
          <w:noProof/>
          <w:color w:val="000000"/>
          <w:sz w:val="22"/>
        </w:rPr>
        <w:t xml:space="preserve"> </w:t>
      </w:r>
    </w:p>
    <w:p w14:paraId="6D530893" w14:textId="77777777" w:rsidR="00C9232E" w:rsidRPr="00D0206E" w:rsidRDefault="00C9232E" w:rsidP="00C9232E">
      <w:pPr>
        <w:rPr>
          <w:rFonts w:eastAsia="Times New Roman" w:cs="Times New Roman"/>
          <w:color w:val="000000"/>
          <w:sz w:val="22"/>
        </w:rPr>
      </w:pPr>
    </w:p>
    <w:p w14:paraId="4792F420" w14:textId="27DFBF11"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Unmanned Aerial Vehicles, UAV, Image, Detection, Identification, Hyperspectral, Multi-Spectral</w:t>
      </w:r>
    </w:p>
    <w:p w14:paraId="4AE47367"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N202-119</w:t>
      </w:r>
      <w:r w:rsidRPr="00D0206E">
        <w:rPr>
          <w:rFonts w:eastAsia="Times New Roman" w:cs="Times New Roman"/>
          <w:color w:val="000000"/>
          <w:sz w:val="22"/>
        </w:rPr>
        <w:tab/>
        <w:t xml:space="preserve">TITLE: </w:t>
      </w:r>
      <w:r w:rsidRPr="00D0206E">
        <w:rPr>
          <w:rFonts w:eastAsia="Times New Roman" w:cs="Times New Roman"/>
          <w:noProof/>
          <w:color w:val="000000"/>
          <w:sz w:val="22"/>
        </w:rPr>
        <w:t>Cross Deck Pendant Health Monitoring</w:t>
      </w:r>
    </w:p>
    <w:p w14:paraId="392C18A6" w14:textId="77777777" w:rsidR="00C9232E" w:rsidRPr="00D0206E" w:rsidRDefault="00C9232E" w:rsidP="00C9232E">
      <w:pPr>
        <w:rPr>
          <w:rFonts w:eastAsia="Times New Roman" w:cs="Times New Roman"/>
          <w:color w:val="000000"/>
          <w:sz w:val="22"/>
        </w:rPr>
      </w:pPr>
    </w:p>
    <w:p w14:paraId="6BBA772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6B7A5E7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w:t>
      </w:r>
    </w:p>
    <w:p w14:paraId="508633AC" w14:textId="77777777" w:rsidR="00C9232E" w:rsidRPr="00D0206E" w:rsidRDefault="00C9232E" w:rsidP="00C9232E">
      <w:pPr>
        <w:rPr>
          <w:rFonts w:eastAsia="Times New Roman" w:cs="Times New Roman"/>
          <w:color w:val="000000"/>
          <w:sz w:val="22"/>
        </w:rPr>
      </w:pPr>
    </w:p>
    <w:p w14:paraId="47793BD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Cross Deck Pendant (CDP) inspection device that provides a "GO / NO-GO" result based on automatic determination of cable health.</w:t>
      </w:r>
    </w:p>
    <w:p w14:paraId="10FA0964" w14:textId="77777777" w:rsidR="00C9232E" w:rsidRPr="00D0206E" w:rsidRDefault="00C9232E" w:rsidP="00C9232E">
      <w:pPr>
        <w:rPr>
          <w:rFonts w:eastAsia="Times New Roman" w:cs="Times New Roman"/>
          <w:color w:val="000000"/>
          <w:sz w:val="22"/>
        </w:rPr>
      </w:pPr>
    </w:p>
    <w:p w14:paraId="63470A1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Carrier aviation is dependent on the ability to recover aircraft expeditiously and safely aboard ship. The arresting gear system aboard aircraft carriers relies on a steel cable to transfer the energy from the landing aircraft to the arresting gear engines located below the deck. The arresting gear cable consists of two separate cables, the CDP and the purchase cable, connected via a terminal and pin. The CDP is the portion of the cable stretched across the landing area and interfaces with the aircraft tailhook.</w:t>
      </w:r>
    </w:p>
    <w:p w14:paraId="375AAFC8" w14:textId="77777777" w:rsidR="00C9232E" w:rsidRPr="00D0206E" w:rsidRDefault="00C9232E" w:rsidP="00C9232E">
      <w:pPr>
        <w:rPr>
          <w:rFonts w:eastAsia="Times New Roman" w:cs="Times New Roman"/>
          <w:noProof/>
          <w:color w:val="000000"/>
          <w:sz w:val="22"/>
        </w:rPr>
      </w:pPr>
    </w:p>
    <w:p w14:paraId="2D16519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Automated inspections of the CDP have proven to be problematic to implement due to the challenging operating environment of aircraft carrier flight decks (i.e., steel deck with a stationary steel wire rope). Current inspection procedures take approximately two minutes, requiring sailors to visually inspect, and slide a gloved hand looking for broken wires on the arresting cable, which is currently a 1-7/16” diameter 6x30 (6 strands made up of 30 wires each) right hand lang lay steel wire rope with a polyester core. This method is subjective and relies on the expertise of the maintainer to ascertain the health of the cable. The current replacement criteria is four broken wires in one cable lay.</w:t>
      </w:r>
    </w:p>
    <w:p w14:paraId="4C43ED35" w14:textId="77777777" w:rsidR="00C9232E" w:rsidRPr="00D0206E" w:rsidRDefault="00C9232E" w:rsidP="00C9232E">
      <w:pPr>
        <w:rPr>
          <w:rFonts w:eastAsia="Times New Roman" w:cs="Times New Roman"/>
          <w:noProof/>
          <w:color w:val="000000"/>
          <w:sz w:val="22"/>
        </w:rPr>
      </w:pPr>
    </w:p>
    <w:p w14:paraId="64EFF9A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 simple, compact but sophisticated "GO / NO-GO" inspection indicator device available for use by Navy maintenance technicians to help increase the accuracy/reliability of the CDP inspections and cable health is sought. Currently the health of the CDP is classified by the number of broken wires present, with four broken wires requiring the CDP to be removed from operation. Solutions need to meet the performance requirements for environmental ruggedness (MIL-STD-810) and should give a simple binary decision indication on cable health [Ref 2]. The inspection device will need to operate in the following environment: on a steel deck, in all weather conditions, day and night, flight deck electromagnetic interference (EMI) conditions, and greased/kinked cables. Any proposed method that requires cable removal or destroying the cable will not be considered.  </w:t>
      </w:r>
    </w:p>
    <w:p w14:paraId="654A1925" w14:textId="77777777" w:rsidR="00C9232E" w:rsidRPr="00D0206E" w:rsidRDefault="00C9232E" w:rsidP="00C9232E">
      <w:pPr>
        <w:rPr>
          <w:rFonts w:eastAsia="Times New Roman" w:cs="Times New Roman"/>
          <w:noProof/>
          <w:color w:val="000000"/>
          <w:sz w:val="22"/>
        </w:rPr>
      </w:pPr>
    </w:p>
    <w:p w14:paraId="66B37C3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ability to predict the cable failure location is desired, as would an estimate of remaining service life. The Navy will consider both in-situ sensors (i.e., part of the cable) and inspection tools (with handheld preferred) that are not part of the cable. However, the inspection must be accomplished while the cable is in operation.</w:t>
      </w:r>
    </w:p>
    <w:p w14:paraId="0EB1AA78" w14:textId="77777777" w:rsidR="00C9232E" w:rsidRPr="00D0206E" w:rsidRDefault="00C9232E" w:rsidP="00C9232E">
      <w:pPr>
        <w:rPr>
          <w:rFonts w:eastAsia="Times New Roman" w:cs="Times New Roman"/>
          <w:color w:val="000000"/>
          <w:sz w:val="22"/>
        </w:rPr>
      </w:pPr>
    </w:p>
    <w:p w14:paraId="50E5789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and demonstrate feasibility of a design solution for a handheld steel cable life indicator that can detect a single broken wire without the need for human interpretation in a timeframe that doesn’t significantly exceed the current inspection time and provides a "GO / NO-GO" decision on the health of a CDP. The Phase I effort will include prototype plans to be developed under Phase II.</w:t>
      </w:r>
    </w:p>
    <w:p w14:paraId="0E4F0448" w14:textId="77777777" w:rsidR="00C9232E" w:rsidRPr="00D0206E" w:rsidRDefault="00C9232E" w:rsidP="00C9232E">
      <w:pPr>
        <w:rPr>
          <w:rFonts w:eastAsia="Times New Roman" w:cs="Times New Roman"/>
          <w:color w:val="000000"/>
          <w:sz w:val="22"/>
        </w:rPr>
      </w:pPr>
    </w:p>
    <w:p w14:paraId="0863FB1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Build and demonstrate a prototype inspection device, and any interfacing electronics, to inspect the CDP. Final demonstration will be in a test environment representative of the CDP aboard ship.</w:t>
      </w:r>
    </w:p>
    <w:p w14:paraId="7EA3D53A" w14:textId="77777777" w:rsidR="00C9232E" w:rsidRPr="00D0206E" w:rsidRDefault="00C9232E" w:rsidP="00C9232E">
      <w:pPr>
        <w:rPr>
          <w:rFonts w:eastAsia="Times New Roman" w:cs="Times New Roman"/>
          <w:color w:val="000000"/>
          <w:sz w:val="22"/>
        </w:rPr>
      </w:pPr>
    </w:p>
    <w:p w14:paraId="6E37FD4A"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Finalize a prototype for robustness and shock testing [Ref 2]. Test the prototype at Naval Air Warfare Center Aircraft Division, Lakehurst, New Jersey.  Transition to appropriate end users.</w:t>
      </w:r>
    </w:p>
    <w:p w14:paraId="74FCFD63" w14:textId="77777777" w:rsidR="00C9232E" w:rsidRPr="00D0206E" w:rsidRDefault="00C9232E" w:rsidP="00C9232E">
      <w:pPr>
        <w:rPr>
          <w:rFonts w:eastAsia="Times New Roman" w:cs="Times New Roman"/>
          <w:noProof/>
          <w:color w:val="000000"/>
          <w:sz w:val="22"/>
        </w:rPr>
      </w:pPr>
    </w:p>
    <w:p w14:paraId="2891A265"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Wire rope has a wide range of applications in industry, including bridges, elevators, cranes, overhead hoists, ski-lifts, ship moorings and off-shore oil rigs. Broken wire count is a standard method for </w:t>
      </w:r>
      <w:r w:rsidRPr="00D0206E">
        <w:rPr>
          <w:rFonts w:eastAsia="Times New Roman" w:cs="Times New Roman"/>
          <w:noProof/>
          <w:color w:val="000000"/>
          <w:sz w:val="22"/>
        </w:rPr>
        <w:lastRenderedPageBreak/>
        <w:t>determining when to replace cables in everything from cranes to winches, so a method of easily identifying broken wires could be beneficial in many non-naval applications.</w:t>
      </w:r>
    </w:p>
    <w:p w14:paraId="760FD807" w14:textId="77777777" w:rsidR="00C9232E" w:rsidRPr="00D0206E" w:rsidRDefault="00C9232E" w:rsidP="00C9232E">
      <w:pPr>
        <w:rPr>
          <w:rFonts w:eastAsia="Times New Roman" w:cs="Times New Roman"/>
          <w:color w:val="000000"/>
          <w:sz w:val="22"/>
        </w:rPr>
      </w:pPr>
    </w:p>
    <w:p w14:paraId="58DF6E7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0E9EAB9F" w14:textId="567A599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“Wire Rope User’s Manual (4th ed., December 2005).” Wire Rope Technical Board.  </w:t>
      </w:r>
      <w:hyperlink r:id="rId155" w:history="1">
        <w:r w:rsidR="004C0772" w:rsidRPr="007743A7">
          <w:rPr>
            <w:rStyle w:val="Hyperlink"/>
            <w:rFonts w:eastAsia="Times New Roman" w:cs="Times New Roman"/>
            <w:noProof/>
            <w:sz w:val="22"/>
          </w:rPr>
          <w:t>http://www.wireropetechnicalboard.org/main_prod.html</w:t>
        </w:r>
      </w:hyperlink>
      <w:r w:rsidR="004C0772">
        <w:rPr>
          <w:rFonts w:eastAsia="Times New Roman" w:cs="Times New Roman"/>
          <w:noProof/>
          <w:color w:val="000000"/>
          <w:sz w:val="22"/>
        </w:rPr>
        <w:t xml:space="preserve"> </w:t>
      </w:r>
    </w:p>
    <w:p w14:paraId="4E628B50" w14:textId="77777777" w:rsidR="003E12BB" w:rsidRDefault="003E12BB" w:rsidP="00C9232E">
      <w:pPr>
        <w:rPr>
          <w:rFonts w:eastAsia="Times New Roman" w:cs="Times New Roman"/>
          <w:noProof/>
          <w:color w:val="000000"/>
          <w:sz w:val="22"/>
        </w:rPr>
      </w:pPr>
    </w:p>
    <w:p w14:paraId="782AB00D" w14:textId="4642DC0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“MIL-STD-810H, DEPARTMENT OF DEFENSE TEST METHOD STANDARD: ENVIRONMENTAL ENGINEERING CONSIDERATIONS AND LABORATORY TESTS (31-JAN-2019).” </w:t>
      </w:r>
      <w:hyperlink r:id="rId156" w:history="1">
        <w:r w:rsidR="004C0772" w:rsidRPr="007743A7">
          <w:rPr>
            <w:rStyle w:val="Hyperlink"/>
            <w:rFonts w:eastAsia="Times New Roman" w:cs="Times New Roman"/>
            <w:noProof/>
            <w:sz w:val="22"/>
          </w:rPr>
          <w:t>http://everyspec.com/MIL-STD/MIL-STD-0800-0899/MIL-STD-810H_55998/</w:t>
        </w:r>
      </w:hyperlink>
      <w:r w:rsidR="004C0772">
        <w:rPr>
          <w:rFonts w:eastAsia="Times New Roman" w:cs="Times New Roman"/>
          <w:noProof/>
          <w:color w:val="000000"/>
          <w:sz w:val="22"/>
        </w:rPr>
        <w:t xml:space="preserve"> </w:t>
      </w:r>
    </w:p>
    <w:p w14:paraId="2508644E" w14:textId="77777777" w:rsidR="003E12BB" w:rsidRDefault="003E12BB" w:rsidP="00C9232E">
      <w:pPr>
        <w:rPr>
          <w:rFonts w:eastAsia="Times New Roman" w:cs="Times New Roman"/>
          <w:noProof/>
          <w:color w:val="000000"/>
          <w:sz w:val="22"/>
        </w:rPr>
      </w:pPr>
    </w:p>
    <w:p w14:paraId="18B0D2E5" w14:textId="186B29E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“U.S. Navy Wire-Rope Handbook, Volume 1 - Design and Engineering of Wire-Rope Systems (Document Number: a955305).” </w:t>
      </w:r>
      <w:hyperlink r:id="rId157" w:history="1">
        <w:r w:rsidR="004C0772" w:rsidRPr="007743A7">
          <w:rPr>
            <w:rStyle w:val="Hyperlink"/>
            <w:rFonts w:eastAsia="Times New Roman" w:cs="Times New Roman"/>
            <w:noProof/>
            <w:sz w:val="22"/>
          </w:rPr>
          <w:t>https://apps.dtic.mil/dtic/tr/fulltext/u2/a955305.pdf</w:t>
        </w:r>
      </w:hyperlink>
      <w:r w:rsidR="004C0772">
        <w:rPr>
          <w:rFonts w:eastAsia="Times New Roman" w:cs="Times New Roman"/>
          <w:noProof/>
          <w:color w:val="000000"/>
          <w:sz w:val="22"/>
        </w:rPr>
        <w:t xml:space="preserve"> </w:t>
      </w:r>
    </w:p>
    <w:p w14:paraId="52974B85" w14:textId="77777777" w:rsidR="00C9232E" w:rsidRPr="00D0206E" w:rsidRDefault="00C9232E" w:rsidP="00C9232E">
      <w:pPr>
        <w:rPr>
          <w:rFonts w:eastAsia="Times New Roman" w:cs="Times New Roman"/>
          <w:color w:val="000000"/>
          <w:sz w:val="22"/>
        </w:rPr>
      </w:pPr>
    </w:p>
    <w:p w14:paraId="11390D3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Wire Rope, Cross Deck Pendant, Arresting Gear, Health Monitoring, Nondestructive Inspection, NDI, Steel Rope, Cable Failure</w:t>
      </w:r>
    </w:p>
    <w:p w14:paraId="54BD30BA" w14:textId="77777777" w:rsidR="00C9232E" w:rsidRPr="00D0206E" w:rsidRDefault="00C9232E" w:rsidP="00C9232E">
      <w:pPr>
        <w:rPr>
          <w:rFonts w:eastAsia="Times New Roman" w:cs="Times New Roman"/>
          <w:color w:val="000000"/>
          <w:sz w:val="22"/>
        </w:rPr>
      </w:pPr>
    </w:p>
    <w:p w14:paraId="48E61BE5" w14:textId="77777777" w:rsidR="00C9232E" w:rsidRPr="00D0206E" w:rsidRDefault="00C9232E" w:rsidP="00C9232E">
      <w:pPr>
        <w:tabs>
          <w:tab w:val="left" w:pos="1260"/>
        </w:tabs>
        <w:ind w:left="270"/>
        <w:rPr>
          <w:rFonts w:eastAsia="Times New Roman" w:cs="Times New Roman"/>
          <w:color w:val="000000"/>
          <w:sz w:val="22"/>
        </w:rPr>
      </w:pPr>
    </w:p>
    <w:p w14:paraId="3EC8FBC1" w14:textId="77777777" w:rsidR="00C9232E" w:rsidRPr="00D0206E" w:rsidRDefault="00C9232E" w:rsidP="00C9232E">
      <w:pPr>
        <w:tabs>
          <w:tab w:val="left" w:pos="1260"/>
        </w:tabs>
        <w:ind w:left="270"/>
        <w:rPr>
          <w:rFonts w:eastAsia="Times New Roman" w:cs="Times New Roman"/>
          <w:color w:val="000000"/>
          <w:sz w:val="22"/>
        </w:rPr>
      </w:pPr>
    </w:p>
    <w:p w14:paraId="3F6EF39B" w14:textId="77777777" w:rsidR="00C9232E" w:rsidRPr="00D0206E" w:rsidRDefault="00C9232E" w:rsidP="00C9232E">
      <w:pPr>
        <w:rPr>
          <w:rFonts w:eastAsia="Times New Roman" w:cs="Times New Roman"/>
          <w:color w:val="000000"/>
          <w:sz w:val="22"/>
        </w:rPr>
      </w:pPr>
    </w:p>
    <w:p w14:paraId="1E8448A5" w14:textId="77777777" w:rsidR="00C9232E" w:rsidRPr="00D0206E" w:rsidRDefault="00C9232E" w:rsidP="00C9232E">
      <w:pPr>
        <w:rPr>
          <w:rFonts w:eastAsia="Times New Roman" w:cs="Times New Roman"/>
          <w:color w:val="000000"/>
          <w:sz w:val="22"/>
        </w:rPr>
      </w:pPr>
    </w:p>
    <w:p w14:paraId="53E3926B"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C7500B7"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N202-120</w:t>
      </w:r>
      <w:r w:rsidRPr="00D0206E">
        <w:rPr>
          <w:rFonts w:eastAsia="Times New Roman" w:cs="Times New Roman"/>
          <w:color w:val="000000"/>
          <w:sz w:val="22"/>
        </w:rPr>
        <w:tab/>
        <w:t xml:space="preserve">TITLE: </w:t>
      </w:r>
      <w:r w:rsidRPr="00D0206E">
        <w:rPr>
          <w:rFonts w:eastAsia="Times New Roman" w:cs="Times New Roman"/>
          <w:noProof/>
          <w:color w:val="000000"/>
          <w:sz w:val="22"/>
        </w:rPr>
        <w:t>Improved and More Robust Automatic Target Classifiers</w:t>
      </w:r>
    </w:p>
    <w:p w14:paraId="0FA95143" w14:textId="77777777" w:rsidR="00C9232E" w:rsidRPr="00D0206E" w:rsidRDefault="00C9232E" w:rsidP="00C9232E">
      <w:pPr>
        <w:rPr>
          <w:rFonts w:eastAsia="Times New Roman" w:cs="Times New Roman"/>
          <w:color w:val="000000"/>
          <w:sz w:val="22"/>
        </w:rPr>
      </w:pPr>
    </w:p>
    <w:p w14:paraId="6D9F369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Artificial Intelligence/ Machine Learning, General Warfighting Requirements (GWR)</w:t>
      </w:r>
    </w:p>
    <w:p w14:paraId="0FFDB14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Information Systems, Battlespace</w:t>
      </w:r>
    </w:p>
    <w:p w14:paraId="128768E2" w14:textId="77777777" w:rsidR="00C9232E" w:rsidRPr="00D0206E" w:rsidRDefault="00C9232E" w:rsidP="00C9232E">
      <w:pPr>
        <w:rPr>
          <w:rFonts w:eastAsia="Times New Roman" w:cs="Times New Roman"/>
          <w:color w:val="000000"/>
          <w:sz w:val="22"/>
        </w:rPr>
      </w:pPr>
    </w:p>
    <w:p w14:paraId="6FCF696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30AD927" w14:textId="77777777" w:rsidR="00C9232E" w:rsidRPr="00D0206E" w:rsidRDefault="00C9232E" w:rsidP="00C9232E">
      <w:pPr>
        <w:rPr>
          <w:rFonts w:eastAsia="Times New Roman" w:cs="Times New Roman"/>
          <w:color w:val="000000"/>
          <w:sz w:val="22"/>
        </w:rPr>
      </w:pPr>
    </w:p>
    <w:p w14:paraId="52396D1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better and more robust automatic target classifiers capable of providing improved accuracy, identification, and classification of complex or subtle dynamics by leveraging advanced mathematical and machine learning tools.</w:t>
      </w:r>
    </w:p>
    <w:p w14:paraId="001A9627" w14:textId="77777777" w:rsidR="00C9232E" w:rsidRPr="00D0206E" w:rsidRDefault="00C9232E" w:rsidP="00C9232E">
      <w:pPr>
        <w:rPr>
          <w:rFonts w:eastAsia="Times New Roman" w:cs="Times New Roman"/>
          <w:color w:val="000000"/>
          <w:sz w:val="22"/>
        </w:rPr>
      </w:pPr>
    </w:p>
    <w:p w14:paraId="16FF004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Current tactical platforms are challenged when it comes to target identification and classification algorithm development. They are unlikely to routinely encounter more complex dynamics of targets of interest and when they do, the raw data is not likely to be recorded. Therefore, data from other collection systems and/or computer models must be used to model and simulate the dynamics and build the required algorithms. The advancement of powerful super computers has made near-real physical modeling possible [Ref. 1], allowing modeling of almost any target with its environment and achieving very good agreement between models and observations. It is important to note though, some approximations are usually required but those terms are generally small and are usually considered insignificant.</w:t>
      </w:r>
    </w:p>
    <w:p w14:paraId="4FBA80C8" w14:textId="77777777" w:rsidR="00C9232E" w:rsidRPr="00D0206E" w:rsidRDefault="00C9232E" w:rsidP="00C9232E">
      <w:pPr>
        <w:rPr>
          <w:rFonts w:eastAsia="Times New Roman" w:cs="Times New Roman"/>
          <w:noProof/>
          <w:color w:val="000000"/>
          <w:sz w:val="22"/>
        </w:rPr>
      </w:pPr>
    </w:p>
    <w:p w14:paraId="40EB4A76" w14:textId="0DDEEC4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Advanced mathematical and machine learning techniques may be used to resolve this apparent paradox between exploiting a high-dimensional feature space with data intensive machine learning and a lack of understanding of the underlying dynamics. </w:t>
      </w:r>
      <w:r w:rsidR="00FC23F7" w:rsidRPr="00FC23F7">
        <w:rPr>
          <w:rFonts w:eastAsia="Times New Roman" w:cs="Times New Roman"/>
          <w:noProof/>
          <w:color w:val="000000"/>
          <w:sz w:val="22"/>
        </w:rPr>
        <w:t>In addition, these techniques can enable classification somewhere near real-time, a timescale that is relevant to tactical platforms, that is on the order of seconds.</w:t>
      </w:r>
      <w:r w:rsidR="00FC23F7">
        <w:rPr>
          <w:rFonts w:eastAsia="Times New Roman" w:cs="Times New Roman"/>
          <w:noProof/>
          <w:color w:val="000000"/>
          <w:sz w:val="22"/>
        </w:rPr>
        <w:t xml:space="preserve"> </w:t>
      </w:r>
      <w:r w:rsidRPr="00D0206E">
        <w:rPr>
          <w:rFonts w:eastAsia="Times New Roman" w:cs="Times New Roman"/>
          <w:noProof/>
          <w:color w:val="000000"/>
          <w:sz w:val="22"/>
        </w:rPr>
        <w:t xml:space="preserve">With this approach, one could build and train equivalently effective algorithms with built-in physics, i.e., coupled non-linear differential expressions, to ensure the algorithms are robust. Finally, the learned physics-based models could be used to extend accurate classification to other objects of similar class using sparsely sampled data, computer models, and scaled model data. </w:t>
      </w:r>
    </w:p>
    <w:p w14:paraId="1D9459B3" w14:textId="77777777" w:rsidR="00C9232E" w:rsidRPr="00D0206E" w:rsidRDefault="00C9232E" w:rsidP="00C9232E">
      <w:pPr>
        <w:rPr>
          <w:rFonts w:eastAsia="Times New Roman" w:cs="Times New Roman"/>
          <w:noProof/>
          <w:color w:val="000000"/>
          <w:sz w:val="22"/>
        </w:rPr>
      </w:pPr>
    </w:p>
    <w:p w14:paraId="5F41F0C8"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Machine learning techniques, e.g., Support Vector Machines (SVM), Dynamic Mode Decomposition (DMD) [Ref. 5], Long Short-Term Memory (LSTM) Recurrent Neural Networks (RNN) or Convolutional Neural Networks (CNN), are effective at picking up and exploiting small differences in data, especially for spatiotemporal coupled systems where the feature space is very large in higher order dimensions. As a result, improved performance can be achieved with access to higher dimensional data with finer temporal resolution and higher fidelity. Getting this data can be difficult for a tactical platform and using traditional computer modeling may not be sufficient due to its data approximations. However, scaled model data might be used to better capture the underlying dynamics and provide a critical element for the advancement of machine learning algorithms. Scale modeling cannot be a complete alternative and may be dismissed in the development and test of classification systems because of the expense when scaling to large class.</w:t>
      </w:r>
    </w:p>
    <w:p w14:paraId="7FBF10CE" w14:textId="77777777" w:rsidR="00C9232E" w:rsidRPr="00D0206E" w:rsidRDefault="00C9232E" w:rsidP="00C9232E">
      <w:pPr>
        <w:rPr>
          <w:rFonts w:eastAsia="Times New Roman" w:cs="Times New Roman"/>
          <w:noProof/>
          <w:color w:val="000000"/>
          <w:sz w:val="22"/>
        </w:rPr>
      </w:pPr>
    </w:p>
    <w:p w14:paraId="5FF49B1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 xml:space="preserve">One other important consideration when using machine learning algorithms are generalization errors or systematic biases. Because these algorithms are sensitive to high dimensional features, they can often key on intangible artifacts like non-real sensor phenomenon or peculiarities present in the data collection. The traditional black box approach sometimes makes it difficult to detect or completely eliminate these types of errors; but all attempts must be made to do so. One way to do this is to ensure the algorithms are grounded in a priori knowledge of physical laws. As with human intelligence, machine intelligence must also be confined to the realm of reality.  </w:t>
      </w:r>
    </w:p>
    <w:p w14:paraId="45EF46C8" w14:textId="77777777" w:rsidR="00C9232E" w:rsidRPr="00D0206E" w:rsidRDefault="00C9232E" w:rsidP="00C9232E">
      <w:pPr>
        <w:rPr>
          <w:rFonts w:eastAsia="Times New Roman" w:cs="Times New Roman"/>
          <w:noProof/>
          <w:color w:val="000000"/>
          <w:sz w:val="22"/>
        </w:rPr>
      </w:pPr>
    </w:p>
    <w:p w14:paraId="077B36A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Recent mathematical tools have been developed that might be leveraged to resolve the apparent paradox of capturing the desired level of complexity in a machine learning algorithm and knowledge of the underlying physical mechanism it is exploiting. Examples of methods or techniques that may provide the desired results include the work by Raissi et al. [Refs. 2, 3], which has demonstrated the ability to translate noisy observations in space and time into non-linear partial differential equations. This was done by embedding a deep hidden physics layer in a Neural Network; it is able to learn the underlying dynamics during training [Ref. 2]. The resulting Neural Networks form the basis for new classes of algorithms with a priori built in knowledge of the underlying physical laws [Ref. 3]. This could allow better and more robust extrapolation to other objects within the same spatiotemporal framework using limited observations and/or augmented with computer and scaled model data. Another example of a technique used for complex dynamics is Dynamic Mode Decomposition [Ref. 5], which have shown the capability to extract governing equations of a dynamic system from sensor and image data collected on that system. </w:t>
      </w:r>
    </w:p>
    <w:p w14:paraId="1CED8AC1" w14:textId="77777777" w:rsidR="00C9232E" w:rsidRPr="00D0206E" w:rsidRDefault="00C9232E" w:rsidP="00C9232E">
      <w:pPr>
        <w:rPr>
          <w:rFonts w:eastAsia="Times New Roman" w:cs="Times New Roman"/>
          <w:noProof/>
          <w:color w:val="000000"/>
          <w:sz w:val="22"/>
        </w:rPr>
      </w:pPr>
    </w:p>
    <w:p w14:paraId="5FF0C3E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Combining new mathematical tools, hidden physics layers, scaled and computer models, and sparse observational data, it should be possible to build better and more robust intelligent machine learning algorithms. These new systems could process higher-dimensional input data at the same speeds or faster to achieve reduced missed identification or classification and increased correct identification and classification performance all the while providing higher confidence in those decisions. Existing data fusion metrics from Single Integrated Air Picture (SIAP) [Ref. 6] or the popular Stone Soup metrics package can be used to assess accuracy in identification and classification against existing systems as a baseline. </w:t>
      </w:r>
    </w:p>
    <w:p w14:paraId="3298AB85" w14:textId="77777777" w:rsidR="00C9232E" w:rsidRPr="00D0206E" w:rsidRDefault="00C9232E" w:rsidP="00C9232E">
      <w:pPr>
        <w:rPr>
          <w:rFonts w:eastAsia="Times New Roman" w:cs="Times New Roman"/>
          <w:noProof/>
          <w:color w:val="000000"/>
          <w:sz w:val="22"/>
        </w:rPr>
      </w:pPr>
    </w:p>
    <w:p w14:paraId="25F8DA0B"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6D1B1D6" w14:textId="77777777" w:rsidR="00C9232E" w:rsidRPr="00D0206E" w:rsidRDefault="00C9232E" w:rsidP="00C9232E">
      <w:pPr>
        <w:rPr>
          <w:rFonts w:eastAsia="Times New Roman" w:cs="Times New Roman"/>
          <w:color w:val="000000"/>
          <w:sz w:val="22"/>
        </w:rPr>
      </w:pPr>
    </w:p>
    <w:p w14:paraId="45A0306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and develop a plan for implementing physics-based machine learning using sparsely sampled and noisy scaled laboratory data. Demonstrate feasibility of a sufficiently robust system to handle, and complex enough to leverage, spatial and temporal coupling and dynamic motion. The Phase I effort will include prototype plans to be developed under Phase II.</w:t>
      </w:r>
    </w:p>
    <w:p w14:paraId="2D6E2BE6" w14:textId="77777777" w:rsidR="00C9232E" w:rsidRPr="00D0206E" w:rsidRDefault="00C9232E" w:rsidP="00C9232E">
      <w:pPr>
        <w:rPr>
          <w:rFonts w:eastAsia="Times New Roman" w:cs="Times New Roman"/>
          <w:color w:val="000000"/>
          <w:sz w:val="22"/>
        </w:rPr>
      </w:pPr>
    </w:p>
    <w:p w14:paraId="7696E4C7"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Based upon the plan from Phase I, develop a machine-learning classification algorithm for multiple targets with separate quarantined targets. The targets can be any class with spatial and temporal dynamics. Build a well-trained SVM, LSTM RNN, CNN classifier using physics-based hidden layers and scale model representations. Test and demonstrate the extent to which sparsely and/or noisy data from the </w:t>
      </w:r>
      <w:r w:rsidRPr="00D0206E">
        <w:rPr>
          <w:rFonts w:eastAsia="Times New Roman" w:cs="Times New Roman"/>
          <w:noProof/>
          <w:color w:val="000000"/>
          <w:sz w:val="22"/>
        </w:rPr>
        <w:lastRenderedPageBreak/>
        <w:t>quarantined target can be incorporated into the existing classifier. Test and demonstrate the extent to which the trained hidden physics layer can produce representative data that matches existing computer or scaled model data. Demonstrate the ability to generate data or a model that is robust against a well trained SVM or CNN classifier. The performance of the developed algorithm may be tested on an approved data set for validation.</w:t>
      </w:r>
    </w:p>
    <w:p w14:paraId="15D39869" w14:textId="77777777" w:rsidR="00C9232E" w:rsidRPr="00D0206E" w:rsidRDefault="00C9232E" w:rsidP="00C9232E">
      <w:pPr>
        <w:rPr>
          <w:rFonts w:eastAsia="Times New Roman" w:cs="Times New Roman"/>
          <w:noProof/>
          <w:color w:val="000000"/>
          <w:sz w:val="22"/>
        </w:rPr>
      </w:pPr>
    </w:p>
    <w:p w14:paraId="718AC03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72FC2603" w14:textId="77777777" w:rsidR="00C9232E" w:rsidRPr="00D0206E" w:rsidRDefault="00C9232E" w:rsidP="00C9232E">
      <w:pPr>
        <w:rPr>
          <w:rFonts w:eastAsia="Times New Roman" w:cs="Times New Roman"/>
          <w:color w:val="000000"/>
          <w:sz w:val="22"/>
        </w:rPr>
      </w:pPr>
    </w:p>
    <w:p w14:paraId="4E4B380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Extend the work to include real world data and accurate representative models. Transition the algorithm to appropriate military and commercial users. Heavy commercial investments in machine learning and artificial intelligence will likely continue for the near future. Better and more robust machine learning signal processing and classification has a myriad of commercial uses including financial market prediction, self-driving cars, medicine, and environmental research.</w:t>
      </w:r>
    </w:p>
    <w:p w14:paraId="36B03C08" w14:textId="77777777" w:rsidR="00C9232E" w:rsidRPr="00D0206E" w:rsidRDefault="00C9232E" w:rsidP="00C9232E">
      <w:pPr>
        <w:rPr>
          <w:rFonts w:eastAsia="Times New Roman" w:cs="Times New Roman"/>
          <w:color w:val="000000"/>
          <w:sz w:val="22"/>
        </w:rPr>
      </w:pPr>
    </w:p>
    <w:p w14:paraId="21FBC53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2C8AAD0" w14:textId="47FB0FD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Abdulle, A., Weinan, E., Engquist, B. &amp; Vanden-Eijnden, E. “The heterogeneous multiscale method.” Acta Numerica, 21, 2012, pp. 1-87. doi:10.1017/S0962492912000025</w:t>
      </w:r>
      <w:r w:rsidR="0012567E">
        <w:rPr>
          <w:rFonts w:eastAsia="Times New Roman" w:cs="Times New Roman"/>
          <w:noProof/>
          <w:color w:val="000000"/>
          <w:sz w:val="22"/>
        </w:rPr>
        <w:t xml:space="preserve"> </w:t>
      </w:r>
    </w:p>
    <w:p w14:paraId="74B90E45" w14:textId="77777777" w:rsidR="00F07F0A" w:rsidRDefault="00F07F0A" w:rsidP="00C9232E">
      <w:pPr>
        <w:rPr>
          <w:rFonts w:eastAsia="Times New Roman" w:cs="Times New Roman"/>
          <w:noProof/>
          <w:color w:val="000000"/>
          <w:sz w:val="22"/>
        </w:rPr>
      </w:pPr>
    </w:p>
    <w:p w14:paraId="774DC85F" w14:textId="2DD7B9A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Raissi, Maziar. “Forward-Backward Stochastic Neural Networks: Deep Learning of High-dimensional Partial Differential Equations.”  Division of Applied Mathematics, Brown University, 2018. </w:t>
      </w:r>
      <w:hyperlink r:id="rId158" w:history="1">
        <w:r w:rsidR="0012567E" w:rsidRPr="007743A7">
          <w:rPr>
            <w:rStyle w:val="Hyperlink"/>
            <w:rFonts w:eastAsia="Times New Roman" w:cs="Times New Roman"/>
            <w:noProof/>
            <w:sz w:val="22"/>
          </w:rPr>
          <w:t>https://arxiv.org/pdf/1804.07010.pdf</w:t>
        </w:r>
      </w:hyperlink>
      <w:r w:rsidR="0012567E">
        <w:rPr>
          <w:rFonts w:eastAsia="Times New Roman" w:cs="Times New Roman"/>
          <w:noProof/>
          <w:color w:val="000000"/>
          <w:sz w:val="22"/>
        </w:rPr>
        <w:t xml:space="preserve"> </w:t>
      </w:r>
    </w:p>
    <w:p w14:paraId="1C9A0A5F" w14:textId="77777777" w:rsidR="00F07F0A" w:rsidRDefault="00F07F0A" w:rsidP="00C9232E">
      <w:pPr>
        <w:rPr>
          <w:rFonts w:eastAsia="Times New Roman" w:cs="Times New Roman"/>
          <w:noProof/>
          <w:color w:val="000000"/>
          <w:sz w:val="22"/>
        </w:rPr>
      </w:pPr>
    </w:p>
    <w:p w14:paraId="17A6EA23" w14:textId="5AB8E768" w:rsidR="00F07F0A"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Raissi, M. “Deep hidden physics models: Deep learning of nonlinear partial differential equations.” Division of Applied Mathematics, Brown University, 2018. ArXiv:1801.06637 [Cs, Math, Stat].  </w:t>
      </w:r>
      <w:hyperlink r:id="rId159" w:history="1">
        <w:r w:rsidR="0012567E" w:rsidRPr="007743A7">
          <w:rPr>
            <w:rStyle w:val="Hyperlink"/>
            <w:rFonts w:eastAsia="Times New Roman" w:cs="Times New Roman"/>
            <w:noProof/>
            <w:sz w:val="22"/>
          </w:rPr>
          <w:t>https://arxiv.org/pdf/1801.06637.pdf</w:t>
        </w:r>
      </w:hyperlink>
      <w:r w:rsidR="0012567E">
        <w:rPr>
          <w:rFonts w:eastAsia="Times New Roman" w:cs="Times New Roman"/>
          <w:noProof/>
          <w:color w:val="000000"/>
          <w:sz w:val="22"/>
        </w:rPr>
        <w:t xml:space="preserve"> </w:t>
      </w:r>
    </w:p>
    <w:p w14:paraId="31848ADC" w14:textId="77777777" w:rsidR="00F07F0A" w:rsidRDefault="00F07F0A" w:rsidP="00C9232E">
      <w:pPr>
        <w:rPr>
          <w:rFonts w:eastAsia="Times New Roman" w:cs="Times New Roman"/>
          <w:noProof/>
          <w:color w:val="000000"/>
          <w:sz w:val="22"/>
        </w:rPr>
      </w:pPr>
    </w:p>
    <w:p w14:paraId="7E0CEA68" w14:textId="3B366EB1"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“2018 National Defense Strategy.” United States Congress. </w:t>
      </w:r>
      <w:hyperlink r:id="rId160" w:history="1">
        <w:r w:rsidR="0012567E" w:rsidRPr="007743A7">
          <w:rPr>
            <w:rStyle w:val="Hyperlink"/>
            <w:rFonts w:eastAsia="Times New Roman" w:cs="Times New Roman"/>
            <w:noProof/>
            <w:sz w:val="22"/>
          </w:rPr>
          <w:t>https://dod.defense.gov/Portals/1/Documents/pubs/2018-National-Defense-Strategy-Summary.pdf</w:t>
        </w:r>
      </w:hyperlink>
      <w:r w:rsidR="0012567E">
        <w:rPr>
          <w:rFonts w:eastAsia="Times New Roman" w:cs="Times New Roman"/>
          <w:noProof/>
          <w:color w:val="000000"/>
          <w:sz w:val="22"/>
        </w:rPr>
        <w:t xml:space="preserve"> </w:t>
      </w:r>
    </w:p>
    <w:p w14:paraId="0EBF1C2A" w14:textId="77777777" w:rsidR="00F07F0A" w:rsidRDefault="00F07F0A" w:rsidP="00C9232E">
      <w:pPr>
        <w:rPr>
          <w:rFonts w:eastAsia="Times New Roman" w:cs="Times New Roman"/>
          <w:noProof/>
          <w:color w:val="000000"/>
          <w:sz w:val="22"/>
        </w:rPr>
      </w:pPr>
    </w:p>
    <w:p w14:paraId="53E38FCD" w14:textId="536FB8E0" w:rsidR="00F07F0A"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Manohar, K., Kaiser, E., Brunton, S. L. and Kutz, J. N. “Optimized Sampling for Multiscale Dynamics.” Multiscale Modeling &amp; Simulation, 17:1, 2019, pp. 117-136. </w:t>
      </w:r>
      <w:hyperlink r:id="rId161" w:history="1">
        <w:r w:rsidR="0012567E" w:rsidRPr="007743A7">
          <w:rPr>
            <w:rStyle w:val="Hyperlink"/>
            <w:rFonts w:eastAsia="Times New Roman" w:cs="Times New Roman"/>
            <w:noProof/>
            <w:sz w:val="22"/>
          </w:rPr>
          <w:t>https://epubs.siam.org/doi/abs/10.1137/15M1023543?mobileUi=0&amp;</w:t>
        </w:r>
      </w:hyperlink>
      <w:r w:rsidR="0012567E">
        <w:rPr>
          <w:rFonts w:eastAsia="Times New Roman" w:cs="Times New Roman"/>
          <w:noProof/>
          <w:color w:val="000000"/>
          <w:sz w:val="22"/>
        </w:rPr>
        <w:t xml:space="preserve"> </w:t>
      </w:r>
    </w:p>
    <w:p w14:paraId="35EDC85C" w14:textId="77777777" w:rsidR="00F07F0A" w:rsidRDefault="00F07F0A" w:rsidP="00C9232E">
      <w:pPr>
        <w:rPr>
          <w:rFonts w:eastAsia="Times New Roman" w:cs="Times New Roman"/>
          <w:noProof/>
          <w:color w:val="000000"/>
          <w:sz w:val="22"/>
        </w:rPr>
      </w:pPr>
    </w:p>
    <w:p w14:paraId="50898866" w14:textId="7144D8F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6. Votruba, P., Nisley, R., Rothrock, R. and Zombro, B. “Single Integrated Air Picture (SIAP) Metrics Implementation.” Single Integrated Air Picture Systems Engineering Task Force, 2001.  </w:t>
      </w:r>
      <w:hyperlink r:id="rId162" w:history="1">
        <w:r w:rsidR="0012567E" w:rsidRPr="007743A7">
          <w:rPr>
            <w:rStyle w:val="Hyperlink"/>
            <w:rFonts w:eastAsia="Times New Roman" w:cs="Times New Roman"/>
            <w:noProof/>
            <w:sz w:val="22"/>
          </w:rPr>
          <w:t>https://apps.dtic.mil/dtic/tr/fulltext/u2/a397225.pdf</w:t>
        </w:r>
      </w:hyperlink>
      <w:r w:rsidR="0012567E">
        <w:rPr>
          <w:rFonts w:eastAsia="Times New Roman" w:cs="Times New Roman"/>
          <w:noProof/>
          <w:color w:val="000000"/>
          <w:sz w:val="22"/>
        </w:rPr>
        <w:t xml:space="preserve"> </w:t>
      </w:r>
    </w:p>
    <w:p w14:paraId="47428B31" w14:textId="77777777" w:rsidR="00C9232E" w:rsidRPr="00D0206E" w:rsidRDefault="00C9232E" w:rsidP="00C9232E">
      <w:pPr>
        <w:rPr>
          <w:rFonts w:eastAsia="Times New Roman" w:cs="Times New Roman"/>
          <w:color w:val="000000"/>
          <w:sz w:val="22"/>
        </w:rPr>
      </w:pPr>
    </w:p>
    <w:p w14:paraId="5EE2C45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Scale Model, Machine Learning, Hidden Physics Layers, Non-Linear Differential Equation, Advanced Mathematics, Automatic Target Qualifier</w:t>
      </w:r>
    </w:p>
    <w:p w14:paraId="3C93533D" w14:textId="77777777" w:rsidR="00C9232E" w:rsidRPr="00D0206E" w:rsidRDefault="00C9232E" w:rsidP="00C9232E">
      <w:pPr>
        <w:rPr>
          <w:rFonts w:eastAsia="Times New Roman" w:cs="Times New Roman"/>
          <w:color w:val="000000"/>
          <w:sz w:val="22"/>
        </w:rPr>
      </w:pPr>
    </w:p>
    <w:p w14:paraId="3BB8A7BB" w14:textId="77777777" w:rsidR="00C9232E" w:rsidRPr="00D0206E" w:rsidRDefault="00C9232E" w:rsidP="00C9232E">
      <w:pPr>
        <w:tabs>
          <w:tab w:val="left" w:pos="1260"/>
        </w:tabs>
        <w:ind w:left="270"/>
        <w:rPr>
          <w:rFonts w:eastAsia="Times New Roman" w:cs="Times New Roman"/>
          <w:color w:val="000000"/>
          <w:sz w:val="22"/>
        </w:rPr>
      </w:pPr>
    </w:p>
    <w:p w14:paraId="3607780B" w14:textId="77777777" w:rsidR="00C9232E" w:rsidRPr="00D0206E" w:rsidRDefault="00C9232E" w:rsidP="00C9232E">
      <w:pPr>
        <w:tabs>
          <w:tab w:val="left" w:pos="1260"/>
        </w:tabs>
        <w:ind w:left="270"/>
        <w:rPr>
          <w:rFonts w:eastAsia="Times New Roman" w:cs="Times New Roman"/>
          <w:color w:val="000000"/>
          <w:sz w:val="22"/>
        </w:rPr>
      </w:pPr>
    </w:p>
    <w:p w14:paraId="5794FFEF" w14:textId="77777777" w:rsidR="00C9232E" w:rsidRPr="00D0206E" w:rsidRDefault="00C9232E" w:rsidP="00C9232E">
      <w:pPr>
        <w:tabs>
          <w:tab w:val="left" w:pos="1260"/>
        </w:tabs>
        <w:ind w:left="270"/>
        <w:rPr>
          <w:rFonts w:eastAsia="Times New Roman" w:cs="Times New Roman"/>
          <w:color w:val="000000"/>
          <w:sz w:val="22"/>
        </w:rPr>
      </w:pPr>
    </w:p>
    <w:p w14:paraId="0A2B47AC" w14:textId="77777777" w:rsidR="00C9232E" w:rsidRPr="00D0206E" w:rsidRDefault="00C9232E" w:rsidP="00C9232E">
      <w:pPr>
        <w:rPr>
          <w:rFonts w:eastAsia="Times New Roman" w:cs="Times New Roman"/>
          <w:color w:val="000000"/>
          <w:sz w:val="22"/>
        </w:rPr>
      </w:pPr>
    </w:p>
    <w:p w14:paraId="39694EC7" w14:textId="77777777" w:rsidR="00C9232E" w:rsidRPr="00D0206E" w:rsidRDefault="00C9232E" w:rsidP="00C9232E">
      <w:pPr>
        <w:rPr>
          <w:rFonts w:eastAsia="Times New Roman" w:cs="Times New Roman"/>
          <w:color w:val="000000"/>
          <w:sz w:val="22"/>
        </w:rPr>
      </w:pPr>
    </w:p>
    <w:p w14:paraId="17FFF21A"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0F77FB3"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N202-121</w:t>
      </w:r>
      <w:r w:rsidRPr="00D0206E">
        <w:rPr>
          <w:rFonts w:eastAsia="Times New Roman" w:cs="Times New Roman"/>
          <w:color w:val="000000"/>
          <w:sz w:val="22"/>
        </w:rPr>
        <w:tab/>
        <w:t xml:space="preserve">TITLE: </w:t>
      </w:r>
      <w:r w:rsidRPr="00D0206E">
        <w:rPr>
          <w:rFonts w:eastAsia="Times New Roman" w:cs="Times New Roman"/>
          <w:noProof/>
          <w:color w:val="000000"/>
          <w:sz w:val="22"/>
        </w:rPr>
        <w:t>Identifying and Characterizing Cognitive Sensor Systems in Tactical Environments</w:t>
      </w:r>
    </w:p>
    <w:p w14:paraId="41EACEF8" w14:textId="77777777" w:rsidR="00C9232E" w:rsidRPr="00D0206E" w:rsidRDefault="00C9232E" w:rsidP="00C9232E">
      <w:pPr>
        <w:rPr>
          <w:rFonts w:eastAsia="Times New Roman" w:cs="Times New Roman"/>
          <w:color w:val="000000"/>
          <w:sz w:val="22"/>
        </w:rPr>
      </w:pPr>
    </w:p>
    <w:p w14:paraId="6812CAD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33FDB17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Information Systems</w:t>
      </w:r>
    </w:p>
    <w:p w14:paraId="268EF881" w14:textId="77777777" w:rsidR="00C9232E" w:rsidRPr="00D0206E" w:rsidRDefault="00C9232E" w:rsidP="00C9232E">
      <w:pPr>
        <w:rPr>
          <w:rFonts w:eastAsia="Times New Roman" w:cs="Times New Roman"/>
          <w:color w:val="000000"/>
          <w:sz w:val="22"/>
        </w:rPr>
      </w:pPr>
    </w:p>
    <w:p w14:paraId="55E03C83"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67E4AA7" w14:textId="77777777" w:rsidR="00C9232E" w:rsidRPr="00D0206E" w:rsidRDefault="00C9232E" w:rsidP="00C9232E">
      <w:pPr>
        <w:rPr>
          <w:rFonts w:eastAsia="Times New Roman" w:cs="Times New Roman"/>
          <w:color w:val="000000"/>
          <w:sz w:val="22"/>
        </w:rPr>
      </w:pPr>
    </w:p>
    <w:p w14:paraId="0602B31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methods to remotely probe an adversary’s cognitive sensor system in order to characterize the nature of their response to changing stimulus.</w:t>
      </w:r>
    </w:p>
    <w:p w14:paraId="309CA18A" w14:textId="77777777" w:rsidR="00C9232E" w:rsidRPr="00D0206E" w:rsidRDefault="00C9232E" w:rsidP="00C9232E">
      <w:pPr>
        <w:rPr>
          <w:rFonts w:eastAsia="Times New Roman" w:cs="Times New Roman"/>
          <w:color w:val="000000"/>
          <w:sz w:val="22"/>
        </w:rPr>
      </w:pPr>
    </w:p>
    <w:p w14:paraId="03EE0979"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Our adversaries’ fielding of cognitive sensor systems rapidly adapt in response to a challenging tactical environment. These cognitive systems employ a sense-learn-adapt loop. In many instantiations, these sensing systems train continuously while operational in an unsupervised fashion to gain maximum additivity to a dynamic threat environment. For example, concepts for true cognitive electronic warfare systems envision a neural network driven sensor that “should be able to enter into an environment not knowing anything about adversarial systems, understand them and even devise countermeasures rapidly” [Ref 1]. Obviously as our adversaries field these systems, we seek methods to detect their presence and characterize their response to a changing tactical environment. The Navy seeks to stimulate these responses through its own purposeful probing in order to observe their evolving sense-learn-adapt loop responses. This understanding is vital to assessing the threat these systems pose as their adaptability poses a significant military threat.</w:t>
      </w:r>
    </w:p>
    <w:p w14:paraId="5DEE0E5E" w14:textId="77777777" w:rsidR="00C9232E" w:rsidRPr="00D0206E" w:rsidRDefault="00C9232E" w:rsidP="00C9232E">
      <w:pPr>
        <w:rPr>
          <w:rFonts w:eastAsia="Times New Roman" w:cs="Times New Roman"/>
          <w:noProof/>
          <w:color w:val="000000"/>
          <w:sz w:val="22"/>
        </w:rPr>
      </w:pPr>
    </w:p>
    <w:p w14:paraId="10AA1AD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solution must be applicable for both Navy airborne electronic warfare and radar systems.</w:t>
      </w:r>
    </w:p>
    <w:p w14:paraId="68D3A8A1" w14:textId="77777777" w:rsidR="00C9232E" w:rsidRPr="00D0206E" w:rsidRDefault="00C9232E" w:rsidP="00C9232E">
      <w:pPr>
        <w:rPr>
          <w:rFonts w:eastAsia="Times New Roman" w:cs="Times New Roman"/>
          <w:noProof/>
          <w:color w:val="000000"/>
          <w:sz w:val="22"/>
        </w:rPr>
      </w:pPr>
    </w:p>
    <w:p w14:paraId="1AF90720"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E9319E9" w14:textId="77777777" w:rsidR="00C9232E" w:rsidRPr="00D0206E" w:rsidRDefault="00C9232E" w:rsidP="00C9232E">
      <w:pPr>
        <w:rPr>
          <w:rFonts w:eastAsia="Times New Roman" w:cs="Times New Roman"/>
          <w:color w:val="000000"/>
          <w:sz w:val="22"/>
        </w:rPr>
      </w:pPr>
    </w:p>
    <w:p w14:paraId="4C55DDD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Design and develop conceptual methods to remotely probe an adversary’s cognitive sensor system for the purpose of characterizing the nature of their response to changing stimulus. The methods should be applicable to both electronic warfare and radar systems. Perform an unclassified proof of concept demonstration to show the scientific and technical merit of candidate approaches. The Phase I effort will include prototype plans to be developed under Phase II.</w:t>
      </w:r>
    </w:p>
    <w:p w14:paraId="152BF439" w14:textId="77777777" w:rsidR="00C9232E" w:rsidRPr="00D0206E" w:rsidRDefault="00C9232E" w:rsidP="00C9232E">
      <w:pPr>
        <w:rPr>
          <w:rFonts w:eastAsia="Times New Roman" w:cs="Times New Roman"/>
          <w:color w:val="000000"/>
          <w:sz w:val="22"/>
        </w:rPr>
      </w:pPr>
    </w:p>
    <w:p w14:paraId="5244D8E4"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Perform detailed development and demonstrate the prototype techniques in terms of operational feasibility. Prepare a detailed concept of operations describing the implementation of the </w:t>
      </w:r>
      <w:r w:rsidRPr="00D0206E">
        <w:rPr>
          <w:rFonts w:eastAsia="Times New Roman" w:cs="Times New Roman"/>
          <w:noProof/>
          <w:color w:val="000000"/>
          <w:sz w:val="22"/>
        </w:rPr>
        <w:lastRenderedPageBreak/>
        <w:t>approach in the field and potential challenges in its implementation for both electronic warfare and radar systems.</w:t>
      </w:r>
    </w:p>
    <w:p w14:paraId="364186C9"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in Phase II may become classified. Please see note in the Description section.</w:t>
      </w:r>
    </w:p>
    <w:p w14:paraId="0ADC8C56" w14:textId="77777777" w:rsidR="00C9232E" w:rsidRPr="00D0206E" w:rsidRDefault="00C9232E" w:rsidP="00C9232E">
      <w:pPr>
        <w:rPr>
          <w:rFonts w:eastAsia="Times New Roman" w:cs="Times New Roman"/>
          <w:color w:val="000000"/>
          <w:sz w:val="22"/>
        </w:rPr>
      </w:pPr>
    </w:p>
    <w:p w14:paraId="4A00856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Complete development, perform final testing, and integrate and transition the final solution to Navy airborne platforms. The general techniques might be applicable to gaining insight into web-based applications, which are cognitive in nature.</w:t>
      </w:r>
    </w:p>
    <w:p w14:paraId="11098E51" w14:textId="77777777" w:rsidR="00C9232E" w:rsidRPr="00D0206E" w:rsidRDefault="00C9232E" w:rsidP="00C9232E">
      <w:pPr>
        <w:rPr>
          <w:rFonts w:eastAsia="Times New Roman" w:cs="Times New Roman"/>
          <w:color w:val="000000"/>
          <w:sz w:val="22"/>
        </w:rPr>
      </w:pPr>
    </w:p>
    <w:p w14:paraId="36A5761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04B13BB0" w14:textId="1A1C70A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Pomerleau, M. “What is the Difference Between Adaptive and Cognitive Electronic Warfare?” C2/Comms, December 16, 2016. </w:t>
      </w:r>
      <w:hyperlink r:id="rId163" w:history="1">
        <w:r w:rsidR="00C00C4B" w:rsidRPr="007743A7">
          <w:rPr>
            <w:rStyle w:val="Hyperlink"/>
            <w:rFonts w:eastAsia="Times New Roman" w:cs="Times New Roman"/>
            <w:noProof/>
            <w:sz w:val="22"/>
          </w:rPr>
          <w:t>https://www.c4isrnet.com/c2-comms/2016/12/16/what-is-the-difference-between-adaptive-and-cognitive-electronic-warfare/</w:t>
        </w:r>
      </w:hyperlink>
      <w:r w:rsidR="00C00C4B">
        <w:rPr>
          <w:rFonts w:eastAsia="Times New Roman" w:cs="Times New Roman"/>
          <w:noProof/>
          <w:color w:val="000000"/>
          <w:sz w:val="22"/>
        </w:rPr>
        <w:t xml:space="preserve"> </w:t>
      </w:r>
    </w:p>
    <w:p w14:paraId="1C9E6D60" w14:textId="77777777" w:rsidR="00975453" w:rsidRDefault="00975453" w:rsidP="00C9232E">
      <w:pPr>
        <w:rPr>
          <w:rFonts w:eastAsia="Times New Roman" w:cs="Times New Roman"/>
          <w:noProof/>
          <w:color w:val="000000"/>
          <w:sz w:val="22"/>
        </w:rPr>
      </w:pPr>
    </w:p>
    <w:p w14:paraId="1E4B79CD" w14:textId="0DFA854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Dong, Y., Zhang, Y., Ma, H. et al. “An Adaptive System for Detecting Malicious Queries in Web Attacks.” Sci. China Inf. Sci. 61, 032114, 2018. </w:t>
      </w:r>
      <w:hyperlink r:id="rId164" w:history="1">
        <w:r w:rsidR="00C00C4B" w:rsidRPr="007743A7">
          <w:rPr>
            <w:rStyle w:val="Hyperlink"/>
            <w:rFonts w:eastAsia="Times New Roman" w:cs="Times New Roman"/>
            <w:noProof/>
            <w:sz w:val="22"/>
          </w:rPr>
          <w:t>https://doi.org/10.1007/s11432-017-9288-4</w:t>
        </w:r>
      </w:hyperlink>
      <w:r w:rsidR="00C00C4B">
        <w:rPr>
          <w:rFonts w:eastAsia="Times New Roman" w:cs="Times New Roman"/>
          <w:noProof/>
          <w:color w:val="000000"/>
          <w:sz w:val="22"/>
        </w:rPr>
        <w:t xml:space="preserve"> </w:t>
      </w:r>
    </w:p>
    <w:p w14:paraId="508C5D0D" w14:textId="77777777" w:rsidR="00C9232E" w:rsidRPr="00D0206E" w:rsidRDefault="00C9232E" w:rsidP="00C9232E">
      <w:pPr>
        <w:rPr>
          <w:rFonts w:eastAsia="Times New Roman" w:cs="Times New Roman"/>
          <w:color w:val="000000"/>
          <w:sz w:val="22"/>
        </w:rPr>
      </w:pPr>
    </w:p>
    <w:p w14:paraId="33DAA2A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Cognitive, Sensors, Adaptivity, Countermeasures, Remote Sensing, Radar, Cognitive Sensor System</w:t>
      </w:r>
    </w:p>
    <w:p w14:paraId="659F905A" w14:textId="77777777" w:rsidR="00C9232E" w:rsidRPr="00D0206E" w:rsidRDefault="00C9232E" w:rsidP="00C9232E">
      <w:pPr>
        <w:rPr>
          <w:rFonts w:eastAsia="Times New Roman" w:cs="Times New Roman"/>
          <w:color w:val="000000"/>
          <w:sz w:val="22"/>
        </w:rPr>
      </w:pPr>
    </w:p>
    <w:p w14:paraId="36BD17C3" w14:textId="77777777" w:rsidR="00C9232E" w:rsidRPr="00D0206E" w:rsidRDefault="00C9232E" w:rsidP="00C9232E">
      <w:pPr>
        <w:tabs>
          <w:tab w:val="left" w:pos="1260"/>
        </w:tabs>
        <w:ind w:left="270"/>
        <w:rPr>
          <w:rFonts w:eastAsia="Times New Roman" w:cs="Times New Roman"/>
          <w:color w:val="000000"/>
          <w:sz w:val="22"/>
        </w:rPr>
      </w:pPr>
    </w:p>
    <w:p w14:paraId="0F456AAF" w14:textId="77777777" w:rsidR="00C9232E" w:rsidRPr="00D0206E" w:rsidRDefault="00C9232E" w:rsidP="00C9232E">
      <w:pPr>
        <w:tabs>
          <w:tab w:val="left" w:pos="1260"/>
        </w:tabs>
        <w:ind w:left="270"/>
        <w:rPr>
          <w:rFonts w:eastAsia="Times New Roman" w:cs="Times New Roman"/>
          <w:color w:val="000000"/>
          <w:sz w:val="22"/>
        </w:rPr>
      </w:pPr>
    </w:p>
    <w:p w14:paraId="751A830E" w14:textId="77777777" w:rsidR="00C9232E" w:rsidRPr="00D0206E" w:rsidRDefault="00C9232E" w:rsidP="00C9232E">
      <w:pPr>
        <w:tabs>
          <w:tab w:val="left" w:pos="1260"/>
        </w:tabs>
        <w:ind w:left="270"/>
        <w:rPr>
          <w:rFonts w:eastAsia="Times New Roman" w:cs="Times New Roman"/>
          <w:color w:val="000000"/>
          <w:sz w:val="22"/>
        </w:rPr>
      </w:pPr>
    </w:p>
    <w:p w14:paraId="152294DE" w14:textId="77777777" w:rsidR="00C9232E" w:rsidRPr="00D0206E" w:rsidRDefault="00C9232E" w:rsidP="00C9232E">
      <w:pPr>
        <w:rPr>
          <w:rFonts w:eastAsia="Times New Roman" w:cs="Times New Roman"/>
          <w:color w:val="000000"/>
          <w:sz w:val="22"/>
        </w:rPr>
      </w:pPr>
    </w:p>
    <w:p w14:paraId="6AB5C7F6" w14:textId="77777777" w:rsidR="00C9232E" w:rsidRPr="00D0206E" w:rsidRDefault="00C9232E" w:rsidP="00C9232E">
      <w:pPr>
        <w:rPr>
          <w:rFonts w:eastAsia="Times New Roman" w:cs="Times New Roman"/>
          <w:color w:val="000000"/>
          <w:sz w:val="22"/>
        </w:rPr>
      </w:pPr>
    </w:p>
    <w:p w14:paraId="5AC514DD"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5BE3CB9"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N202-122</w:t>
      </w:r>
      <w:r w:rsidRPr="00D0206E">
        <w:rPr>
          <w:rFonts w:eastAsia="Times New Roman" w:cs="Times New Roman"/>
          <w:color w:val="000000"/>
          <w:sz w:val="22"/>
        </w:rPr>
        <w:tab/>
        <w:t xml:space="preserve">TITLE: </w:t>
      </w:r>
      <w:r w:rsidRPr="00D0206E">
        <w:rPr>
          <w:rFonts w:eastAsia="Times New Roman" w:cs="Times New Roman"/>
          <w:noProof/>
          <w:color w:val="000000"/>
          <w:sz w:val="22"/>
        </w:rPr>
        <w:t>Innovative Multi-Physics-based Tool to Minimize Residual Stress / Distortion in Large Aerospace Aluminum Forging Parts</w:t>
      </w:r>
    </w:p>
    <w:p w14:paraId="7E2C6842" w14:textId="77777777" w:rsidR="00C9232E" w:rsidRPr="00D0206E" w:rsidRDefault="00C9232E" w:rsidP="00C9232E">
      <w:pPr>
        <w:rPr>
          <w:rFonts w:eastAsia="Times New Roman" w:cs="Times New Roman"/>
          <w:color w:val="000000"/>
          <w:sz w:val="22"/>
        </w:rPr>
      </w:pPr>
    </w:p>
    <w:p w14:paraId="08A8B12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4A9FE9E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Materials</w:t>
      </w:r>
    </w:p>
    <w:p w14:paraId="73DDDFA5" w14:textId="77777777" w:rsidR="00C9232E" w:rsidRPr="00D0206E" w:rsidRDefault="00C9232E" w:rsidP="00C9232E">
      <w:pPr>
        <w:rPr>
          <w:rFonts w:eastAsia="Times New Roman" w:cs="Times New Roman"/>
          <w:color w:val="000000"/>
          <w:sz w:val="22"/>
        </w:rPr>
      </w:pPr>
    </w:p>
    <w:p w14:paraId="21D99FC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tool to optimize the quenching process by understanding and addressing the multi-physics challenges in the inter-relationship among the stress/strain, heat, and phase transformation in order to control residual stress and reduce distortion in large aerospace aluminum forging parts.</w:t>
      </w:r>
    </w:p>
    <w:p w14:paraId="34D338E3" w14:textId="77777777" w:rsidR="00C9232E" w:rsidRPr="00D0206E" w:rsidRDefault="00C9232E" w:rsidP="00C9232E">
      <w:pPr>
        <w:rPr>
          <w:rFonts w:eastAsia="Times New Roman" w:cs="Times New Roman"/>
          <w:color w:val="000000"/>
          <w:sz w:val="22"/>
        </w:rPr>
      </w:pPr>
    </w:p>
    <w:p w14:paraId="263A1AA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Naval Aviation aircraft procurement faces cost and schedule challenges where one of the major contributors is the high scrap rate of large airframe aluminum forging parts. For example, a 22% scrap rate was observed on a NAVAIR low rate initial production (LRIP) Helicopter program in 2017.</w:t>
      </w:r>
    </w:p>
    <w:p w14:paraId="1E1D6FBB" w14:textId="77777777" w:rsidR="00C9232E" w:rsidRPr="00D0206E" w:rsidRDefault="00C9232E" w:rsidP="00C9232E">
      <w:pPr>
        <w:rPr>
          <w:rFonts w:eastAsia="Times New Roman" w:cs="Times New Roman"/>
          <w:noProof/>
          <w:color w:val="000000"/>
          <w:sz w:val="22"/>
        </w:rPr>
      </w:pPr>
    </w:p>
    <w:p w14:paraId="6A542476"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parts were rejected for geometrical non-conformance, due to distortion induced during production stages, but mostly right after the quenching step, or post-quenching. Typical production stages start with rough machining of the forging, followed by quenching, aging, removing braces, chemical milling, semi-finish machining, finish machining, and final inspection.</w:t>
      </w:r>
    </w:p>
    <w:p w14:paraId="3907A04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749D973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To reduce the post-quenching distortion, there are two approaches: 1) Do trial-and-error runs, then pick the best one. This approach is cost prohibitive since there are endless combinations of quenching set ups, or 2) Use a prediction tool to run simulations with optimized quenching parameters yielding least distortion.</w:t>
      </w:r>
    </w:p>
    <w:p w14:paraId="5CBF12BD" w14:textId="77777777" w:rsidR="00C9232E" w:rsidRPr="00D0206E" w:rsidRDefault="00C9232E" w:rsidP="00C9232E">
      <w:pPr>
        <w:rPr>
          <w:rFonts w:eastAsia="Times New Roman" w:cs="Times New Roman"/>
          <w:noProof/>
          <w:color w:val="000000"/>
          <w:sz w:val="22"/>
        </w:rPr>
      </w:pPr>
    </w:p>
    <w:p w14:paraId="293EBCF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Currently available tools for reducing post-quenching distortion in large aircraft aluminum forging parts are often a set of Finite Element Analysis (FEA) software with input consist of a) geometry of parts and quench tank, and b) thermal characteristics of parts and quenching medium. Thermal parameters are entered to represent the heat transfer characteristics, but that is not sufficiently accurate, since the mechanical and metallurgical aspects of the parts are changing as well in the process, and need to be concurrently considered. Acceptable accuracy would be when all three input types (i.e., thermal, mechanical, and metallurgical) are entered into the FEA before the simulation process.</w:t>
      </w:r>
    </w:p>
    <w:p w14:paraId="66E3530C" w14:textId="77777777" w:rsidR="00C9232E" w:rsidRPr="00D0206E" w:rsidRDefault="00C9232E" w:rsidP="00C9232E">
      <w:pPr>
        <w:rPr>
          <w:rFonts w:eastAsia="Times New Roman" w:cs="Times New Roman"/>
          <w:noProof/>
          <w:color w:val="000000"/>
          <w:sz w:val="22"/>
        </w:rPr>
      </w:pPr>
    </w:p>
    <w:p w14:paraId="39F5E9F9"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To effectively reduce post-quenching distortion in large aircraft aluminum forging parts, an innovative multi-physics-based and machine learning tool must be designed to optimize the quenching process, where the model inputs will cover all three fields: thermal, mechanical, and metallurgical, with a comprehensive understanding and control of residual stresses.</w:t>
      </w:r>
    </w:p>
    <w:p w14:paraId="2A1DBD8A" w14:textId="77777777" w:rsidR="00C9232E" w:rsidRPr="00D0206E" w:rsidRDefault="00C9232E" w:rsidP="00C9232E">
      <w:pPr>
        <w:rPr>
          <w:rFonts w:eastAsia="Times New Roman" w:cs="Times New Roman"/>
          <w:color w:val="000000"/>
          <w:sz w:val="22"/>
        </w:rPr>
      </w:pPr>
    </w:p>
    <w:p w14:paraId="51FD26E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the concept for one or more physics-based options where heat transfer, stress/strain evolution, and phase transformation can be modelled. Demonstrate feasibility of the model design. Perform a proof-of-concept demonstration that assesses the design’s Technology Readiness Level (TRL)/Manufacturing Readiness Level (MRL). The Phase I effort will include prototype plans to be developed under Phase II.</w:t>
      </w:r>
    </w:p>
    <w:p w14:paraId="77CB6375" w14:textId="77777777" w:rsidR="00C9232E" w:rsidRPr="00D0206E" w:rsidRDefault="00C9232E" w:rsidP="00C9232E">
      <w:pPr>
        <w:rPr>
          <w:rFonts w:eastAsia="Times New Roman" w:cs="Times New Roman"/>
          <w:color w:val="000000"/>
          <w:sz w:val="22"/>
        </w:rPr>
      </w:pPr>
    </w:p>
    <w:p w14:paraId="50B3680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the physics-based conceptual prototype model, and verify/validate the prototype with coupon/component/full-scale testing. Demonstrate the transition feasibility. Update TRL/MRL assessment.</w:t>
      </w:r>
    </w:p>
    <w:p w14:paraId="0DAABD5F" w14:textId="77777777" w:rsidR="00C9232E" w:rsidRPr="00D0206E" w:rsidRDefault="00C9232E" w:rsidP="00C9232E">
      <w:pPr>
        <w:rPr>
          <w:rFonts w:eastAsia="Times New Roman" w:cs="Times New Roman"/>
          <w:color w:val="000000"/>
          <w:sz w:val="22"/>
        </w:rPr>
      </w:pPr>
    </w:p>
    <w:p w14:paraId="6A2F9D6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Commercialize and transition the developed tool as an analytical software package. Detail a verification and validation plan, along with a demonstration of application capacity for the selected airframe components of any interested aircraft platform. </w:t>
      </w:r>
    </w:p>
    <w:p w14:paraId="3FB68BF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Methods and techniques developed can be included for broad use in the aerospace industry in a commercial software package for optimized quenching and to minimize residual stress/distortion in large aerospace aluminum forging parts.</w:t>
      </w:r>
    </w:p>
    <w:p w14:paraId="5923DC11" w14:textId="77777777" w:rsidR="00C9232E" w:rsidRPr="00D0206E" w:rsidRDefault="00C9232E" w:rsidP="00C9232E">
      <w:pPr>
        <w:rPr>
          <w:rFonts w:eastAsia="Times New Roman" w:cs="Times New Roman"/>
          <w:color w:val="000000"/>
          <w:sz w:val="22"/>
        </w:rPr>
      </w:pPr>
    </w:p>
    <w:p w14:paraId="4FBE5C8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4EFA305" w14:textId="4103196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Robinson, J., Tanner, D., &amp; Van Petegem, S. “Influence of Quenching and Aging on Residual Stress in Al-Zn-Mg-Cu Alloy 7449.” Materials Science and Technology, Volume 28, Issue 4, April 2012, pp. 420-430. </w:t>
      </w:r>
      <w:hyperlink r:id="rId165" w:history="1">
        <w:r w:rsidR="00BB5897" w:rsidRPr="007743A7">
          <w:rPr>
            <w:rStyle w:val="Hyperlink"/>
            <w:rFonts w:eastAsia="Times New Roman" w:cs="Times New Roman"/>
            <w:noProof/>
            <w:sz w:val="22"/>
          </w:rPr>
          <w:t>https://www.researchgate.net/publication/233717127_Influence_of_quenching_and_aging_on_residual_stress_in_Al-Zn-Mg-Cu_alloy_7449</w:t>
        </w:r>
      </w:hyperlink>
      <w:r w:rsidR="00BB5897">
        <w:rPr>
          <w:rFonts w:eastAsia="Times New Roman" w:cs="Times New Roman"/>
          <w:noProof/>
          <w:color w:val="000000"/>
          <w:sz w:val="22"/>
        </w:rPr>
        <w:t xml:space="preserve"> </w:t>
      </w:r>
    </w:p>
    <w:p w14:paraId="1E0EF0F3" w14:textId="77777777" w:rsidR="008B33AC" w:rsidRDefault="008B33AC" w:rsidP="00C9232E">
      <w:pPr>
        <w:rPr>
          <w:rFonts w:eastAsia="Times New Roman" w:cs="Times New Roman"/>
          <w:noProof/>
          <w:color w:val="000000"/>
          <w:sz w:val="22"/>
        </w:rPr>
      </w:pPr>
    </w:p>
    <w:p w14:paraId="084DCEB6" w14:textId="6C9F3C3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Watton, J. “Computational Modeling and Optimization of Residual Stress for Large Structural Forgings.” Aeromat 21 Conference and Exposition, American Society for Metals, June 2012. </w:t>
      </w:r>
      <w:hyperlink r:id="rId166" w:history="1">
        <w:r w:rsidR="00BB5897" w:rsidRPr="007743A7">
          <w:rPr>
            <w:rStyle w:val="Hyperlink"/>
            <w:rFonts w:eastAsia="Times New Roman" w:cs="Times New Roman"/>
            <w:noProof/>
            <w:sz w:val="22"/>
          </w:rPr>
          <w:t>https://www.researchgate.net/publication/267900582_Computational_Modeling_and_Optimization_of_Residual_Stress_for_Large_Structural_Forgings</w:t>
        </w:r>
      </w:hyperlink>
      <w:r w:rsidR="00BB5897">
        <w:rPr>
          <w:rFonts w:eastAsia="Times New Roman" w:cs="Times New Roman"/>
          <w:noProof/>
          <w:color w:val="000000"/>
          <w:sz w:val="22"/>
        </w:rPr>
        <w:t xml:space="preserve"> </w:t>
      </w:r>
    </w:p>
    <w:p w14:paraId="77E90EE5" w14:textId="77777777" w:rsidR="008B33AC" w:rsidRDefault="008B33AC" w:rsidP="00C9232E">
      <w:pPr>
        <w:rPr>
          <w:rFonts w:eastAsia="Times New Roman" w:cs="Times New Roman"/>
          <w:noProof/>
          <w:color w:val="000000"/>
          <w:sz w:val="22"/>
        </w:rPr>
      </w:pPr>
    </w:p>
    <w:p w14:paraId="2BFFD211" w14:textId="32E7FBD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Yang, X., Zhu, J.-C., Lai, Z.-H., &amp; Liu, Y. “Finite Element Analysis of Quenching Temperature Field, Residual Stress and Distortion in A357 Aluminum Alloy Large Complicated Thin-wall Workpieces.” Transactions of Nonferrous Metals Society of China, Volume 23, Issue 6, pp. 1751-1760. </w:t>
      </w:r>
      <w:hyperlink r:id="rId167" w:history="1">
        <w:r w:rsidR="00BB5897" w:rsidRPr="007743A7">
          <w:rPr>
            <w:rStyle w:val="Hyperlink"/>
            <w:rFonts w:eastAsia="Times New Roman" w:cs="Times New Roman"/>
            <w:noProof/>
            <w:sz w:val="22"/>
          </w:rPr>
          <w:t>https://www.researchgate.net/publication/275129961_Finite_element_analysis_of_quenching_temperature_field_residual_stress_and_distortion_in_A357_aluminum_alloy_large_complicated_thin-wall_workpieces</w:t>
        </w:r>
      </w:hyperlink>
      <w:r w:rsidR="00BB5897">
        <w:rPr>
          <w:rFonts w:eastAsia="Times New Roman" w:cs="Times New Roman"/>
          <w:noProof/>
          <w:color w:val="000000"/>
          <w:sz w:val="22"/>
        </w:rPr>
        <w:t xml:space="preserve"> </w:t>
      </w:r>
    </w:p>
    <w:p w14:paraId="102AA7A0" w14:textId="77777777" w:rsidR="00C9232E" w:rsidRPr="00D0206E" w:rsidRDefault="00C9232E" w:rsidP="00C9232E">
      <w:pPr>
        <w:rPr>
          <w:rFonts w:eastAsia="Times New Roman" w:cs="Times New Roman"/>
          <w:color w:val="000000"/>
          <w:sz w:val="22"/>
        </w:rPr>
      </w:pPr>
    </w:p>
    <w:p w14:paraId="4F6D699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Optimized Quenching, Large Aerospace Aluminum Forging Parts, Computational Modelling, Residual Stress, Phase Transformation, Micro Structures</w:t>
      </w:r>
    </w:p>
    <w:p w14:paraId="33796043" w14:textId="77777777" w:rsidR="00C9232E" w:rsidRPr="00D0206E" w:rsidRDefault="00C9232E" w:rsidP="00C9232E">
      <w:pPr>
        <w:rPr>
          <w:rFonts w:eastAsia="Times New Roman" w:cs="Times New Roman"/>
          <w:color w:val="000000"/>
          <w:sz w:val="22"/>
        </w:rPr>
      </w:pPr>
    </w:p>
    <w:p w14:paraId="7EB3215C" w14:textId="77777777" w:rsidR="00C9232E" w:rsidRPr="00D0206E" w:rsidRDefault="00C9232E" w:rsidP="00C9232E">
      <w:pPr>
        <w:tabs>
          <w:tab w:val="left" w:pos="1260"/>
        </w:tabs>
        <w:ind w:left="270"/>
        <w:rPr>
          <w:rFonts w:eastAsia="Times New Roman" w:cs="Times New Roman"/>
          <w:color w:val="000000"/>
          <w:sz w:val="22"/>
        </w:rPr>
      </w:pPr>
    </w:p>
    <w:p w14:paraId="3913D1CA" w14:textId="77777777" w:rsidR="00C9232E" w:rsidRPr="00D0206E" w:rsidRDefault="00C9232E" w:rsidP="00C9232E">
      <w:pPr>
        <w:tabs>
          <w:tab w:val="left" w:pos="1260"/>
        </w:tabs>
        <w:ind w:left="270"/>
        <w:rPr>
          <w:rFonts w:eastAsia="Times New Roman" w:cs="Times New Roman"/>
          <w:color w:val="000000"/>
          <w:sz w:val="22"/>
        </w:rPr>
      </w:pPr>
    </w:p>
    <w:p w14:paraId="48640687" w14:textId="77777777" w:rsidR="00C9232E" w:rsidRPr="00D0206E" w:rsidRDefault="00C9232E" w:rsidP="00C9232E">
      <w:pPr>
        <w:tabs>
          <w:tab w:val="left" w:pos="1260"/>
        </w:tabs>
        <w:ind w:left="270"/>
        <w:rPr>
          <w:rFonts w:eastAsia="Times New Roman" w:cs="Times New Roman"/>
          <w:color w:val="000000"/>
          <w:sz w:val="22"/>
        </w:rPr>
      </w:pPr>
    </w:p>
    <w:p w14:paraId="405B4235" w14:textId="77777777" w:rsidR="00C9232E" w:rsidRPr="00D0206E" w:rsidRDefault="00C9232E" w:rsidP="00C9232E">
      <w:pPr>
        <w:rPr>
          <w:rFonts w:eastAsia="Times New Roman" w:cs="Times New Roman"/>
          <w:color w:val="000000"/>
          <w:sz w:val="22"/>
        </w:rPr>
      </w:pPr>
    </w:p>
    <w:p w14:paraId="0807CAF1" w14:textId="77777777" w:rsidR="00C9232E" w:rsidRPr="00D0206E" w:rsidRDefault="00C9232E" w:rsidP="00C9232E">
      <w:pPr>
        <w:rPr>
          <w:rFonts w:eastAsia="Times New Roman" w:cs="Times New Roman"/>
          <w:color w:val="000000"/>
          <w:sz w:val="22"/>
        </w:rPr>
      </w:pPr>
    </w:p>
    <w:p w14:paraId="2E01314E"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7ECD483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N202-123</w:t>
      </w:r>
      <w:r w:rsidRPr="00D0206E">
        <w:rPr>
          <w:rFonts w:eastAsia="Times New Roman" w:cs="Times New Roman"/>
          <w:color w:val="000000"/>
          <w:sz w:val="22"/>
        </w:rPr>
        <w:tab/>
        <w:t xml:space="preserve">TITLE: </w:t>
      </w:r>
      <w:r w:rsidRPr="00D0206E">
        <w:rPr>
          <w:rFonts w:eastAsia="Times New Roman" w:cs="Times New Roman"/>
          <w:noProof/>
          <w:color w:val="000000"/>
          <w:sz w:val="22"/>
        </w:rPr>
        <w:t>Generation of Hydrogen from Seawater, Powered by Solar PV, Leading to Cogeneration of Electricity and Potable Water</w:t>
      </w:r>
    </w:p>
    <w:p w14:paraId="245744E3" w14:textId="77777777" w:rsidR="00C9232E" w:rsidRPr="00D0206E" w:rsidRDefault="00C9232E" w:rsidP="00C9232E">
      <w:pPr>
        <w:rPr>
          <w:rFonts w:eastAsia="Times New Roman" w:cs="Times New Roman"/>
          <w:color w:val="000000"/>
          <w:sz w:val="22"/>
        </w:rPr>
      </w:pPr>
    </w:p>
    <w:p w14:paraId="42FA7E3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1EC92EA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Chem Bio Defense, Materials</w:t>
      </w:r>
    </w:p>
    <w:p w14:paraId="2710276C" w14:textId="77777777" w:rsidR="00C9232E" w:rsidRPr="00D0206E" w:rsidRDefault="00C9232E" w:rsidP="00C9232E">
      <w:pPr>
        <w:rPr>
          <w:rFonts w:eastAsia="Times New Roman" w:cs="Times New Roman"/>
          <w:color w:val="000000"/>
          <w:sz w:val="22"/>
        </w:rPr>
      </w:pPr>
    </w:p>
    <w:p w14:paraId="31C510C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shore-based system with durable components that can be used to generate hydrogen from seawater using variable solar photovoltaic (PV) power with the purpose of producing usable electricity and potable water. (Note: The system design should take into consideration lifecycle cost effectiveness and minimizing potential contaminants from the component material into the generation of water.)</w:t>
      </w:r>
    </w:p>
    <w:p w14:paraId="7021AB7C" w14:textId="77777777" w:rsidR="00C9232E" w:rsidRPr="00D0206E" w:rsidRDefault="00C9232E" w:rsidP="00C9232E">
      <w:pPr>
        <w:rPr>
          <w:rFonts w:eastAsia="Times New Roman" w:cs="Times New Roman"/>
          <w:color w:val="000000"/>
          <w:sz w:val="22"/>
        </w:rPr>
      </w:pPr>
    </w:p>
    <w:p w14:paraId="56BCA44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In order for renewable energy to provide greater resilience benefits to the Navy, Marine Corps, and throughout the U.S., its variable power output must be coupled with energy storage. Development in this area focuses on electric power and ignores potable water requirements, which are arguably a bigger limiter for continuation of mission operations when the utility supply is unavailable. Energy storage involving hydrogen often produces water as a byproduct of its power generation process. Hydrogen generated from seawater has yet to be commercially viable due to the high cost of materials, short product life of components, and low efficiency of the seawater-to-hydrogen evolution process. Studies and developments over the past 5-10 years have shown different yet effective ways of generating hydrogen that is compatible with seawater and address some of the major corrosion challenges [Refs 1, 2, 3]. Combining the two hydrogen-related processes into one system and utilizing variable renewable power can provide a greater resilience benefit for both island and coastal military installations, even for those that already have on-site power and water generation capabilities. Overcoming past and current issues with hydrogen generation, including corrosion, chlorine, and expensive materials, will improve lifecycle cost effectiveness. Designing the system to be used to generate potable water will affect its design as to reduce or eliminate potential water contamination.</w:t>
      </w:r>
    </w:p>
    <w:p w14:paraId="1DF7889F" w14:textId="77777777" w:rsidR="00C9232E" w:rsidRPr="00D0206E" w:rsidRDefault="00C9232E" w:rsidP="00C9232E">
      <w:pPr>
        <w:rPr>
          <w:rFonts w:eastAsia="Times New Roman" w:cs="Times New Roman"/>
          <w:color w:val="000000"/>
          <w:sz w:val="22"/>
        </w:rPr>
      </w:pPr>
    </w:p>
    <w:p w14:paraId="3C40F82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and demonstrate the subsystems capable of using real or simulated variable PV power and determine at least one source of real seawater from which to generate hydrogen and convert hydrogen into electricity and water. Evaluate attributes of the system, including energy density, power density, transient dynamics, system size and efficiency, water production rate and quality, component product life, and anticipated maintenance requirements using detailed models and subscale components. The U.S. Environmental Protection Agency (EPA) safe drinking water requirements for States and Public Water Systems shall be a starting point for establishing thresholds for defining potable water and target potable water production to at least 6 L/kW [Ref 4]. Finalize the systems integration and design for a 10kW-level test-bed prototype to be used for Phase II. Provide a Phase II development approach and schedule that contains discrete milestones for testing and further development.</w:t>
      </w:r>
    </w:p>
    <w:p w14:paraId="237CD972" w14:textId="77777777" w:rsidR="00C9232E" w:rsidRPr="00D0206E" w:rsidRDefault="00C9232E" w:rsidP="00C9232E">
      <w:pPr>
        <w:rPr>
          <w:rFonts w:eastAsia="Times New Roman" w:cs="Times New Roman"/>
          <w:color w:val="000000"/>
          <w:sz w:val="22"/>
        </w:rPr>
      </w:pPr>
    </w:p>
    <w:p w14:paraId="07AEA5C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Fabricate a test-bed 10 kW-level prototype. Validate prototype capabilities using laboratory testing and at least two sources of seawater with known major differences that can potentially affect the function and output of the system. Further evaluate attributes of the system from Phase I. Design a fully functional 10kW system that can be fabricated and tested in a non-laboratory environment. As funding permits, work toward fabrication of a fully functional system.</w:t>
      </w:r>
    </w:p>
    <w:p w14:paraId="5219D7EC" w14:textId="77777777" w:rsidR="00C9232E" w:rsidRPr="00D0206E" w:rsidRDefault="00C9232E" w:rsidP="00C9232E">
      <w:pPr>
        <w:rPr>
          <w:rFonts w:eastAsia="Times New Roman" w:cs="Times New Roman"/>
          <w:color w:val="000000"/>
          <w:sz w:val="22"/>
        </w:rPr>
      </w:pPr>
    </w:p>
    <w:p w14:paraId="447D476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Fabricate and test a fully functional system in a real-world environment. Acquire certifications necessary to comply with connecting to a shore-based, utility grid system. Develop documentation, such as a DD-1391 and eROI (Energy Return on Investment), for sites with high potential for this application to enable the installation to request funding for construction. While this system will benefit island and coastal military installations, it can also find applications in municipalities and community microgrid systems especially where water and power are unreliable or </w:t>
      </w:r>
      <w:r w:rsidRPr="00D0206E">
        <w:rPr>
          <w:rFonts w:eastAsia="Times New Roman" w:cs="Times New Roman"/>
          <w:noProof/>
          <w:color w:val="000000"/>
          <w:sz w:val="22"/>
        </w:rPr>
        <w:lastRenderedPageBreak/>
        <w:t>require an alternate source. In addition, it can support a hydrogen economy or be applied to hydrogen powered vehicles.</w:t>
      </w:r>
    </w:p>
    <w:p w14:paraId="15295659" w14:textId="77777777" w:rsidR="00C9232E" w:rsidRPr="00D0206E" w:rsidRDefault="00C9232E" w:rsidP="00C9232E">
      <w:pPr>
        <w:rPr>
          <w:rFonts w:eastAsia="Times New Roman" w:cs="Times New Roman"/>
          <w:color w:val="000000"/>
          <w:sz w:val="22"/>
        </w:rPr>
      </w:pPr>
    </w:p>
    <w:p w14:paraId="6DE2479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CE10243" w14:textId="6E3F729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Garcia de Jesus, Erin. “Stanford researchers create hydrogen fuel from seawater.” Stanford News, March 18, 2019. </w:t>
      </w:r>
      <w:hyperlink r:id="rId168" w:history="1">
        <w:r w:rsidR="00B4318B" w:rsidRPr="007743A7">
          <w:rPr>
            <w:rStyle w:val="Hyperlink"/>
            <w:rFonts w:eastAsia="Times New Roman" w:cs="Times New Roman"/>
            <w:noProof/>
            <w:sz w:val="22"/>
          </w:rPr>
          <w:t>https://news.stanford.edu/2019/03/18/new-way-generate-hydrogen-fuel-seawater/</w:t>
        </w:r>
      </w:hyperlink>
      <w:r w:rsidR="00B4318B">
        <w:rPr>
          <w:rFonts w:eastAsia="Times New Roman" w:cs="Times New Roman"/>
          <w:noProof/>
          <w:color w:val="000000"/>
          <w:sz w:val="22"/>
        </w:rPr>
        <w:t xml:space="preserve"> </w:t>
      </w:r>
    </w:p>
    <w:p w14:paraId="2565A4E4" w14:textId="77777777" w:rsidR="008B33AC" w:rsidRDefault="008B33AC" w:rsidP="00C9232E">
      <w:pPr>
        <w:rPr>
          <w:rFonts w:eastAsia="Times New Roman" w:cs="Times New Roman"/>
          <w:noProof/>
          <w:color w:val="000000"/>
          <w:sz w:val="22"/>
        </w:rPr>
      </w:pPr>
    </w:p>
    <w:p w14:paraId="7F2083CD" w14:textId="3BC9A68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Hristovski, Kiril, Dhanasekaran, Brindha, Tibaquirá, Juan E., Posner, Jonathan D. and Westerhoff, Paul. “Producing drinking water from hydrogen fuel cells.” Journal of Water Supply: Research and Technology – AQUA, Volume 58, Issue 5, July 2009, pp.327.335. </w:t>
      </w:r>
      <w:hyperlink r:id="rId169" w:history="1">
        <w:r w:rsidR="00B4318B" w:rsidRPr="007743A7">
          <w:rPr>
            <w:rStyle w:val="Hyperlink"/>
            <w:rFonts w:eastAsia="Times New Roman" w:cs="Times New Roman"/>
            <w:noProof/>
            <w:sz w:val="22"/>
          </w:rPr>
          <w:t>https://asu.pure.elsevier.com/en/publications/producing-drinking-water-from-hydrogen-fuel-cells</w:t>
        </w:r>
      </w:hyperlink>
      <w:r w:rsidR="00B4318B">
        <w:rPr>
          <w:rFonts w:eastAsia="Times New Roman" w:cs="Times New Roman"/>
          <w:noProof/>
          <w:color w:val="000000"/>
          <w:sz w:val="22"/>
        </w:rPr>
        <w:t xml:space="preserve"> </w:t>
      </w:r>
    </w:p>
    <w:p w14:paraId="353C71C1" w14:textId="77777777" w:rsidR="008B33AC" w:rsidRDefault="008B33AC" w:rsidP="00C9232E">
      <w:pPr>
        <w:rPr>
          <w:rFonts w:eastAsia="Times New Roman" w:cs="Times New Roman"/>
          <w:noProof/>
          <w:color w:val="000000"/>
          <w:sz w:val="22"/>
        </w:rPr>
      </w:pPr>
    </w:p>
    <w:p w14:paraId="1D6D49E8" w14:textId="42B9523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U.S. Army CCDC Army Research Laboratory. “Army hydrogen-generation discovery may spur new industry.” U.S. Army website, July 2009. https://www.arl.army.mil/www/default.cfm?article=34794. U.S. Environmental Protection Agency. “Drinking Water Requirements for States and Public Water Systems.” September 2017. </w:t>
      </w:r>
      <w:hyperlink r:id="rId170" w:history="1">
        <w:r w:rsidR="00B4318B" w:rsidRPr="007743A7">
          <w:rPr>
            <w:rStyle w:val="Hyperlink"/>
            <w:rFonts w:eastAsia="Times New Roman" w:cs="Times New Roman"/>
            <w:noProof/>
            <w:sz w:val="22"/>
          </w:rPr>
          <w:t>https://www.epa.gov/dwreginfo/drinking-water-regulations</w:t>
        </w:r>
      </w:hyperlink>
      <w:r w:rsidR="00B4318B">
        <w:rPr>
          <w:rFonts w:eastAsia="Times New Roman" w:cs="Times New Roman"/>
          <w:noProof/>
          <w:color w:val="000000"/>
          <w:sz w:val="22"/>
        </w:rPr>
        <w:t xml:space="preserve"> </w:t>
      </w:r>
    </w:p>
    <w:p w14:paraId="04B91BA2" w14:textId="77777777" w:rsidR="00C9232E" w:rsidRPr="00D0206E" w:rsidRDefault="00C9232E" w:rsidP="00C9232E">
      <w:pPr>
        <w:rPr>
          <w:rFonts w:eastAsia="Times New Roman" w:cs="Times New Roman"/>
          <w:color w:val="000000"/>
          <w:sz w:val="22"/>
        </w:rPr>
      </w:pPr>
    </w:p>
    <w:p w14:paraId="4C65BAD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Seawater, Hydrogen, Fuel Cell, Solar Photovoltaic, Potable Water</w:t>
      </w:r>
    </w:p>
    <w:p w14:paraId="75BEA625" w14:textId="77777777" w:rsidR="00C9232E" w:rsidRPr="00D0206E" w:rsidRDefault="00C9232E" w:rsidP="00C9232E">
      <w:pPr>
        <w:rPr>
          <w:rFonts w:eastAsia="Times New Roman" w:cs="Times New Roman"/>
          <w:color w:val="000000"/>
          <w:sz w:val="22"/>
        </w:rPr>
      </w:pPr>
    </w:p>
    <w:p w14:paraId="3C425AF0" w14:textId="77777777" w:rsidR="00C9232E" w:rsidRPr="00D0206E" w:rsidRDefault="00C9232E" w:rsidP="00C9232E">
      <w:pPr>
        <w:tabs>
          <w:tab w:val="left" w:pos="1260"/>
        </w:tabs>
        <w:ind w:left="270"/>
        <w:rPr>
          <w:rFonts w:eastAsia="Times New Roman" w:cs="Times New Roman"/>
          <w:color w:val="000000"/>
          <w:sz w:val="22"/>
        </w:rPr>
      </w:pPr>
    </w:p>
    <w:p w14:paraId="58A7801A" w14:textId="77777777" w:rsidR="00C9232E" w:rsidRPr="00D0206E" w:rsidRDefault="00C9232E" w:rsidP="00C9232E">
      <w:pPr>
        <w:tabs>
          <w:tab w:val="left" w:pos="1260"/>
        </w:tabs>
        <w:ind w:left="270"/>
        <w:rPr>
          <w:rFonts w:eastAsia="Times New Roman" w:cs="Times New Roman"/>
          <w:color w:val="000000"/>
          <w:sz w:val="22"/>
        </w:rPr>
      </w:pPr>
    </w:p>
    <w:p w14:paraId="2CEA5A43" w14:textId="77777777" w:rsidR="00C9232E" w:rsidRPr="00D0206E" w:rsidRDefault="00C9232E" w:rsidP="00C9232E">
      <w:pPr>
        <w:tabs>
          <w:tab w:val="left" w:pos="1260"/>
        </w:tabs>
        <w:ind w:left="270"/>
        <w:rPr>
          <w:rFonts w:eastAsia="Times New Roman" w:cs="Times New Roman"/>
          <w:color w:val="000000"/>
          <w:sz w:val="22"/>
        </w:rPr>
      </w:pPr>
    </w:p>
    <w:p w14:paraId="359576A3" w14:textId="77777777" w:rsidR="00C9232E" w:rsidRPr="00D0206E" w:rsidRDefault="00C9232E" w:rsidP="00C9232E">
      <w:pPr>
        <w:rPr>
          <w:rFonts w:eastAsia="Times New Roman" w:cs="Times New Roman"/>
          <w:color w:val="000000"/>
          <w:sz w:val="22"/>
        </w:rPr>
      </w:pPr>
    </w:p>
    <w:p w14:paraId="41F50AD4" w14:textId="77777777" w:rsidR="00C9232E" w:rsidRPr="00D0206E" w:rsidRDefault="00C9232E" w:rsidP="00C9232E">
      <w:pPr>
        <w:rPr>
          <w:rFonts w:eastAsia="Times New Roman" w:cs="Times New Roman"/>
          <w:color w:val="000000"/>
          <w:sz w:val="22"/>
        </w:rPr>
      </w:pPr>
    </w:p>
    <w:p w14:paraId="70AD4905"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42D73522"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N202-124</w:t>
      </w:r>
      <w:r w:rsidRPr="00D0206E">
        <w:rPr>
          <w:rFonts w:eastAsia="Times New Roman" w:cs="Times New Roman"/>
          <w:color w:val="000000"/>
          <w:sz w:val="22"/>
        </w:rPr>
        <w:tab/>
        <w:t xml:space="preserve">TITLE: </w:t>
      </w:r>
      <w:r w:rsidRPr="00D0206E">
        <w:rPr>
          <w:rFonts w:eastAsia="Times New Roman" w:cs="Times New Roman"/>
          <w:noProof/>
          <w:color w:val="000000"/>
          <w:sz w:val="22"/>
        </w:rPr>
        <w:t>Thermal and Magnetic Packaging for Large Superconducting Systems</w:t>
      </w:r>
    </w:p>
    <w:p w14:paraId="551E3DFB" w14:textId="77777777" w:rsidR="00C9232E" w:rsidRPr="00D0206E" w:rsidRDefault="00C9232E" w:rsidP="00C9232E">
      <w:pPr>
        <w:rPr>
          <w:rFonts w:eastAsia="Times New Roman" w:cs="Times New Roman"/>
          <w:color w:val="000000"/>
          <w:sz w:val="22"/>
        </w:rPr>
      </w:pPr>
    </w:p>
    <w:p w14:paraId="043C9DD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Microelectronics</w:t>
      </w:r>
    </w:p>
    <w:p w14:paraId="24807B9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Information Systems, Sensors, Electronics</w:t>
      </w:r>
    </w:p>
    <w:p w14:paraId="7012A0C1" w14:textId="77777777" w:rsidR="00C9232E" w:rsidRPr="00D0206E" w:rsidRDefault="00C9232E" w:rsidP="00C9232E">
      <w:pPr>
        <w:rPr>
          <w:rFonts w:eastAsia="Times New Roman" w:cs="Times New Roman"/>
          <w:color w:val="000000"/>
          <w:sz w:val="22"/>
        </w:rPr>
      </w:pPr>
    </w:p>
    <w:p w14:paraId="15ADF5D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Invent and experimentally validate one or more schemes for packaging of Multi-Chip Modules (MCM) that simultaneously satisfies the system needs for volume conservation and for the thermal and magnetic field conditions that allow proper operation of complex superconducting MCM. The approach developed must be inherently notionally scalable to 1,000’s of such MCM modules/“cards” in Phase III, although the work proposed here should start with a proof that a single MCM can be operated as well as a single chip. The packaging design may assume either or both electrically and photonically realized Input/Output cabling between MCM cards and across temperature gradient, but IO work is not included in this topic.</w:t>
      </w:r>
    </w:p>
    <w:p w14:paraId="4DBCF7F8" w14:textId="77777777" w:rsidR="00C9232E" w:rsidRPr="00D0206E" w:rsidRDefault="00C9232E" w:rsidP="00C9232E">
      <w:pPr>
        <w:rPr>
          <w:rFonts w:eastAsia="Times New Roman" w:cs="Times New Roman"/>
          <w:color w:val="000000"/>
          <w:sz w:val="22"/>
        </w:rPr>
      </w:pPr>
    </w:p>
    <w:p w14:paraId="6581CE24"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Direct from RF superconducting Radio Frequency (RF) receivers already offer high sensitivity, extreme bandwidth, and outstanding time domain resolution all present in 1 digital data stream. Hence, they are candidates for such ultra-wideband applications as full spectrum situational awareness and cognitively adapting Low Probability of Detection (LPD) communications. However, numerous military applications such as full-spectrum active arrays (ideal for Electronic Support Measures (ESM) and Signal Intelligence (SIGINT)) require more digitizers than offered by today’s limit of 3 Analog to Digital Converters on a single chip. Even larger scaling is required for the exascale computing applications (needed by future commercial data centers, a dual use). Such scaling of the system complexity will likely progress first to circuit board-like MCM and then to card case-like subassemblies. For systems with so many die to be successful, the proper magnetic and thermal environment must be simultaneously provided to each individual die, as well as including ways to plumb in power lines and data cables without causing stray magnetic fields or difficulties in servicing the final assembly. </w:t>
      </w:r>
    </w:p>
    <w:p w14:paraId="3FCE2E3E" w14:textId="77777777" w:rsidR="00C9232E" w:rsidRPr="00D0206E" w:rsidRDefault="00C9232E" w:rsidP="00C9232E">
      <w:pPr>
        <w:rPr>
          <w:rFonts w:eastAsia="Times New Roman" w:cs="Times New Roman"/>
          <w:noProof/>
          <w:color w:val="000000"/>
          <w:sz w:val="22"/>
        </w:rPr>
      </w:pPr>
    </w:p>
    <w:p w14:paraId="63D0E15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Conductive cooling via thermal busses is a well-demonstrated technique in spacecraft design, but demonstrations of its successful use for multiple MCM constructed of 4K niobium circuits are missing. Proper electrical functionality requires no larger than 100mK variation in the effective electronic temperature across the multi-MCM assembly at a mean temperature of around 4.5K or colder.</w:t>
      </w:r>
    </w:p>
    <w:p w14:paraId="5F61476E" w14:textId="77777777" w:rsidR="00C9232E" w:rsidRPr="00D0206E" w:rsidRDefault="00C9232E" w:rsidP="00C9232E">
      <w:pPr>
        <w:rPr>
          <w:rFonts w:eastAsia="Times New Roman" w:cs="Times New Roman"/>
          <w:noProof/>
          <w:color w:val="000000"/>
          <w:sz w:val="22"/>
        </w:rPr>
      </w:pPr>
    </w:p>
    <w:p w14:paraId="31FE20B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Any total local magnetic field present at the functional superconducting switching elements is also potentially deleterious to its proper operation, but practically an upper limit of about 4 micro-Tesla may be sufficient to guarantee proper operation. Locally produced fields associated with magnetic flux trapped in moats, screening currents, circuit bias currents, and power distribution add to the more homogeneous ambient sources such as the earth’s magnetic field. So far low frequency magnetic shielding only from the uniform fields have been seriously addressed and there has been little published about oscillating (AC, e.g., clock) field reduction.</w:t>
      </w:r>
    </w:p>
    <w:p w14:paraId="7D3A4A45" w14:textId="77777777" w:rsidR="00C9232E" w:rsidRPr="00D0206E" w:rsidRDefault="00C9232E" w:rsidP="00C9232E">
      <w:pPr>
        <w:rPr>
          <w:rFonts w:eastAsia="Times New Roman" w:cs="Times New Roman"/>
          <w:noProof/>
          <w:color w:val="000000"/>
          <w:sz w:val="22"/>
        </w:rPr>
      </w:pPr>
    </w:p>
    <w:p w14:paraId="40403CF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Proposers should in their Phase I proposal clarify what operational functionality their MCMs will exhibit, define a notional program work time line through the end of the base of Phase II, and identify what if any Government assistance with active Nb JJ circuit die and passive MCM design/fabrication and MCM assembly their plans require as Government Furnished Property (GFP). Of the order of 2 active and 2 passive designs sites per Phase may be assumed as acceptable GFP. The SFQ5ee and MCM processes at MIT Lincoln Laboratory are the assumed sources of any new GFP materials. Active die from previous US Government programs may be supplied by the prime or possible subcontractors if the original sponsor approves. Such GFP assistance, if any, would be negotiated following Phase I selection and again following Phase II selection. In addition, how the success of the homogeneous temperature/magnetic field suppression will be experimentally documented should be described in the original Phase I proposal.</w:t>
      </w:r>
    </w:p>
    <w:p w14:paraId="7B6EB766" w14:textId="77777777" w:rsidR="00C9232E" w:rsidRPr="00D0206E" w:rsidRDefault="00C9232E" w:rsidP="00C9232E">
      <w:pPr>
        <w:rPr>
          <w:rFonts w:eastAsia="Times New Roman" w:cs="Times New Roman"/>
          <w:color w:val="000000"/>
          <w:sz w:val="22"/>
        </w:rPr>
      </w:pPr>
    </w:p>
    <w:p w14:paraId="55A69C08" w14:textId="6D3D4833"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 </w:t>
      </w:r>
      <w:r w:rsidRPr="00D0206E">
        <w:rPr>
          <w:rFonts w:eastAsia="Times New Roman" w:cs="Times New Roman"/>
          <w:noProof/>
          <w:color w:val="000000"/>
          <w:sz w:val="22"/>
        </w:rPr>
        <w:t xml:space="preserve">Base: Generate the final designs for an individual functional 20x20 mm (or larger) MCM based on either identical or distinct active Nb JJ chips (GFP), vendor-supplied supplementary chips/structures, and passive Si carriers. Either flip the vendor-supplied parts onto the carrier or wire bond them in place. Complete a desired risk reduction test of the packaging concept before the Initial Phase II Proposal is written at the end of the base effort. Perform Thermal/ B (magnetic) field modeling via numerical simulation that may be helpful, but is not required nor sufficient in the absence of experimental validation. </w:t>
      </w:r>
    </w:p>
    <w:p w14:paraId="73BCCBD9" w14:textId="77777777" w:rsidR="00C9232E" w:rsidRPr="00D0206E" w:rsidRDefault="00C9232E" w:rsidP="00C9232E">
      <w:pPr>
        <w:rPr>
          <w:rFonts w:eastAsia="Times New Roman" w:cs="Times New Roman"/>
          <w:noProof/>
          <w:color w:val="000000"/>
          <w:sz w:val="22"/>
        </w:rPr>
      </w:pPr>
    </w:p>
    <w:p w14:paraId="730B1808" w14:textId="36F631C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Option: Complete realization of the first functional prototype and begin to iterate the most problematic aspect of the realized packaging design.</w:t>
      </w:r>
    </w:p>
    <w:p w14:paraId="0BA5D2E9" w14:textId="77777777" w:rsidR="00C9232E" w:rsidRPr="00D0206E" w:rsidRDefault="00C9232E" w:rsidP="00C9232E">
      <w:pPr>
        <w:rPr>
          <w:rFonts w:eastAsia="Times New Roman" w:cs="Times New Roman"/>
          <w:color w:val="000000"/>
          <w:sz w:val="22"/>
        </w:rPr>
      </w:pPr>
    </w:p>
    <w:p w14:paraId="4CBA372C" w14:textId="5377AF01"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Base: Complete a proof-of-concept demonstration. Prove the thermal and magnetic field limits can be met in a packaged single MCM assembly without any need to substantially complicate the wiring of input signal, output data, and power to/from the outside world. </w:t>
      </w:r>
    </w:p>
    <w:p w14:paraId="1EE381CE" w14:textId="77777777" w:rsidR="00C9232E" w:rsidRPr="00D0206E" w:rsidRDefault="00C9232E" w:rsidP="00C9232E">
      <w:pPr>
        <w:rPr>
          <w:rFonts w:eastAsia="Times New Roman" w:cs="Times New Roman"/>
          <w:noProof/>
          <w:color w:val="000000"/>
          <w:sz w:val="22"/>
        </w:rPr>
      </w:pPr>
    </w:p>
    <w:p w14:paraId="6B2D96ED" w14:textId="39357C3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Option: Refine the techniques developed and specialize the choice of chips included in the final demonstration to focus on the class of functionality desired by the transition funding sponsor. Conclude at TRL 4 or higher.</w:t>
      </w:r>
    </w:p>
    <w:p w14:paraId="4F03EC7F" w14:textId="77777777" w:rsidR="00C9232E" w:rsidRPr="00D0206E" w:rsidRDefault="00C9232E" w:rsidP="00C9232E">
      <w:pPr>
        <w:rPr>
          <w:rFonts w:eastAsia="Times New Roman" w:cs="Times New Roman"/>
          <w:color w:val="000000"/>
          <w:sz w:val="22"/>
        </w:rPr>
      </w:pPr>
    </w:p>
    <w:p w14:paraId="64949B4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Transition the packaging techniques to a Government program and participate in further demonstrations using fully functional chips such as a proven computation accelerator for a multiple Teraflop CPU at a commercial data center or some specifically RF receiver functionality, such as correlation functions, digital beam forming, de-interleaving, or other Digital Signal Processing (DSP) operation.</w:t>
      </w:r>
    </w:p>
    <w:p w14:paraId="3415D626" w14:textId="77777777" w:rsidR="00C9232E" w:rsidRPr="00D0206E" w:rsidRDefault="00C9232E" w:rsidP="00C9232E">
      <w:pPr>
        <w:rPr>
          <w:rFonts w:eastAsia="Times New Roman" w:cs="Times New Roman"/>
          <w:color w:val="000000"/>
          <w:sz w:val="22"/>
        </w:rPr>
      </w:pPr>
    </w:p>
    <w:p w14:paraId="44C5441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ED25A2F" w14:textId="66A9BF5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Gupta, D., Filippov, T. V., et al. “Digital channelizing radio frequency receiver.” IEEE Trans. Appl. Supercond., vol. 17, no. 2, pp. 430-437, June 2007. </w:t>
      </w:r>
      <w:hyperlink r:id="rId171" w:history="1">
        <w:r w:rsidR="00864C99" w:rsidRPr="007743A7">
          <w:rPr>
            <w:rStyle w:val="Hyperlink"/>
            <w:rFonts w:eastAsia="Times New Roman" w:cs="Times New Roman"/>
            <w:noProof/>
            <w:sz w:val="22"/>
          </w:rPr>
          <w:t>HTTP://www..com/wp-content/uploads/2010/12/Digital-Channelizing-Radio-Frequency-Receiver.pdf</w:t>
        </w:r>
      </w:hyperlink>
      <w:r w:rsidR="00864C99">
        <w:rPr>
          <w:rFonts w:eastAsia="Times New Roman" w:cs="Times New Roman"/>
          <w:noProof/>
          <w:color w:val="000000"/>
          <w:sz w:val="22"/>
        </w:rPr>
        <w:t xml:space="preserve"> </w:t>
      </w:r>
    </w:p>
    <w:p w14:paraId="1B8E75A1" w14:textId="77777777" w:rsidR="00E25780" w:rsidRDefault="00E25780" w:rsidP="00C9232E">
      <w:pPr>
        <w:rPr>
          <w:rFonts w:eastAsia="Times New Roman" w:cs="Times New Roman"/>
          <w:noProof/>
          <w:color w:val="000000"/>
          <w:sz w:val="22"/>
        </w:rPr>
      </w:pPr>
    </w:p>
    <w:p w14:paraId="46DA9484" w14:textId="3C7E92A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Hayakawa, H., Yoshikawa, N., Yorozu, S., and Fujimaki, A. “Superconducting digital electronics.” Proceedings of the IEEE, vol. 92, no. 10, pp. 1549-1563, October 2004. </w:t>
      </w:r>
      <w:hyperlink r:id="rId172" w:history="1">
        <w:r w:rsidR="00864C99" w:rsidRPr="007743A7">
          <w:rPr>
            <w:rStyle w:val="Hyperlink"/>
            <w:rFonts w:eastAsia="Times New Roman" w:cs="Times New Roman"/>
            <w:noProof/>
            <w:sz w:val="22"/>
          </w:rPr>
          <w:t>HTTPS://you.redo.nii.ac.jp/?action=repository_action_common_download&amp;item_id=3657&amp;item_no=1&amp;attribute_id=20&amp;file_no=1</w:t>
        </w:r>
      </w:hyperlink>
      <w:r w:rsidR="00864C99">
        <w:rPr>
          <w:rFonts w:eastAsia="Times New Roman" w:cs="Times New Roman"/>
          <w:noProof/>
          <w:color w:val="000000"/>
          <w:sz w:val="22"/>
        </w:rPr>
        <w:t xml:space="preserve"> </w:t>
      </w:r>
    </w:p>
    <w:p w14:paraId="0D91A631" w14:textId="77777777" w:rsidR="00E25780" w:rsidRDefault="00E25780" w:rsidP="00C9232E">
      <w:pPr>
        <w:rPr>
          <w:rFonts w:eastAsia="Times New Roman" w:cs="Times New Roman"/>
          <w:noProof/>
          <w:color w:val="000000"/>
          <w:sz w:val="22"/>
        </w:rPr>
      </w:pPr>
    </w:p>
    <w:p w14:paraId="767FECB8" w14:textId="253B31A9" w:rsidR="00E25780"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Holmes, D. S., Kadin, A. M., and Johnson, M. W. "Superconducting Computing in Large-Scale Hybrid Systems." Computer 48.12 (2015): 34-42. </w:t>
      </w:r>
      <w:hyperlink r:id="rId173" w:history="1">
        <w:r w:rsidR="00864C99" w:rsidRPr="007743A7">
          <w:rPr>
            <w:rStyle w:val="Hyperlink"/>
            <w:rFonts w:eastAsia="Times New Roman" w:cs="Times New Roman"/>
            <w:noProof/>
            <w:sz w:val="22"/>
          </w:rPr>
          <w:t>https://www.computer.org/csdl/mags/co/2015/12/mco2015120034-abs.HTML</w:t>
        </w:r>
      </w:hyperlink>
      <w:r w:rsidR="00864C99">
        <w:rPr>
          <w:rFonts w:eastAsia="Times New Roman" w:cs="Times New Roman"/>
          <w:noProof/>
          <w:color w:val="000000"/>
          <w:sz w:val="22"/>
        </w:rPr>
        <w:t xml:space="preserve"> </w:t>
      </w:r>
    </w:p>
    <w:p w14:paraId="29808831" w14:textId="77777777" w:rsidR="00E25780" w:rsidRDefault="00E25780" w:rsidP="00C9232E">
      <w:pPr>
        <w:rPr>
          <w:rFonts w:eastAsia="Times New Roman" w:cs="Times New Roman"/>
          <w:noProof/>
          <w:color w:val="000000"/>
          <w:sz w:val="22"/>
        </w:rPr>
      </w:pPr>
    </w:p>
    <w:p w14:paraId="4A8064D1" w14:textId="771E041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Jayaweera, S. K. "Signal Processing for Cognitive Radios." John Wiley Press, 2014, ISBN: 978-1-118-82493-1.- </w:t>
      </w:r>
      <w:hyperlink r:id="rId174" w:history="1">
        <w:r w:rsidR="00864C99" w:rsidRPr="007743A7">
          <w:rPr>
            <w:rStyle w:val="Hyperlink"/>
            <w:rFonts w:eastAsia="Times New Roman" w:cs="Times New Roman"/>
            <w:noProof/>
            <w:sz w:val="22"/>
          </w:rPr>
          <w:t>https://www.wiley.com/en-us/Signal+Processing+for+Cognitive+Radios-p-9781118824931</w:t>
        </w:r>
      </w:hyperlink>
      <w:r w:rsidR="00864C99">
        <w:rPr>
          <w:rFonts w:eastAsia="Times New Roman" w:cs="Times New Roman"/>
          <w:noProof/>
          <w:color w:val="000000"/>
          <w:sz w:val="22"/>
        </w:rPr>
        <w:t xml:space="preserve"> </w:t>
      </w:r>
    </w:p>
    <w:p w14:paraId="3AA8901A" w14:textId="77777777" w:rsidR="00C9232E" w:rsidRPr="00D0206E" w:rsidRDefault="00C9232E" w:rsidP="00C9232E">
      <w:pPr>
        <w:rPr>
          <w:rFonts w:eastAsia="Times New Roman" w:cs="Times New Roman"/>
          <w:color w:val="000000"/>
          <w:sz w:val="22"/>
        </w:rPr>
      </w:pPr>
    </w:p>
    <w:p w14:paraId="6FACF7A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Thermal Conductivity, Thermal Boundary Resistance, Passive Magnetic Shielding, Active Magnetic Shielding, Magnetic Flux, Superconducting Flux Trapping</w:t>
      </w:r>
    </w:p>
    <w:p w14:paraId="59A6BDEE" w14:textId="77777777" w:rsidR="00C9232E" w:rsidRPr="00D0206E" w:rsidRDefault="00C9232E" w:rsidP="00C9232E">
      <w:pPr>
        <w:rPr>
          <w:rFonts w:eastAsia="Times New Roman" w:cs="Times New Roman"/>
          <w:color w:val="000000"/>
          <w:sz w:val="22"/>
        </w:rPr>
      </w:pPr>
    </w:p>
    <w:p w14:paraId="56C73B48" w14:textId="77777777" w:rsidR="00C9232E" w:rsidRPr="00D0206E" w:rsidRDefault="00C9232E" w:rsidP="00C9232E">
      <w:pPr>
        <w:rPr>
          <w:rFonts w:eastAsia="Times New Roman" w:cs="Times New Roman"/>
          <w:color w:val="000000"/>
          <w:sz w:val="22"/>
        </w:rPr>
      </w:pPr>
    </w:p>
    <w:p w14:paraId="343A297A"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3655EB83"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N202-125</w:t>
      </w:r>
      <w:r w:rsidRPr="00D0206E">
        <w:rPr>
          <w:rFonts w:eastAsia="Times New Roman" w:cs="Times New Roman"/>
          <w:color w:val="000000"/>
          <w:sz w:val="22"/>
        </w:rPr>
        <w:tab/>
        <w:t xml:space="preserve">TITLE: </w:t>
      </w:r>
      <w:r w:rsidRPr="00D0206E">
        <w:rPr>
          <w:rFonts w:eastAsia="Times New Roman" w:cs="Times New Roman"/>
          <w:noProof/>
          <w:color w:val="000000"/>
          <w:sz w:val="22"/>
        </w:rPr>
        <w:t>Broadband Photoconductive Terahertz Focal Plane Arrays</w:t>
      </w:r>
    </w:p>
    <w:p w14:paraId="1938D14A" w14:textId="77777777" w:rsidR="00C9232E" w:rsidRPr="00D0206E" w:rsidRDefault="00C9232E" w:rsidP="00C9232E">
      <w:pPr>
        <w:rPr>
          <w:rFonts w:eastAsia="Times New Roman" w:cs="Times New Roman"/>
          <w:color w:val="000000"/>
          <w:sz w:val="22"/>
        </w:rPr>
      </w:pPr>
    </w:p>
    <w:p w14:paraId="33C1CF6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Network Command, Control and Communications</w:t>
      </w:r>
    </w:p>
    <w:p w14:paraId="2D3ECC9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Chem Bio Defense, Sensors, Electronics</w:t>
      </w:r>
    </w:p>
    <w:p w14:paraId="5D3B3702" w14:textId="77777777" w:rsidR="00C9232E" w:rsidRPr="00D0206E" w:rsidRDefault="00C9232E" w:rsidP="00C9232E">
      <w:pPr>
        <w:rPr>
          <w:rFonts w:eastAsia="Times New Roman" w:cs="Times New Roman"/>
          <w:color w:val="000000"/>
          <w:sz w:val="22"/>
        </w:rPr>
      </w:pPr>
    </w:p>
    <w:p w14:paraId="43BA417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photoconductive terahertz focal plane arrays that offer large pixel count, high dynamic range, and high speed over a broad terahertz (THz) frequency range.</w:t>
      </w:r>
    </w:p>
    <w:p w14:paraId="5B6F1241" w14:textId="77777777" w:rsidR="00C9232E" w:rsidRPr="00D0206E" w:rsidRDefault="00C9232E" w:rsidP="00C9232E">
      <w:pPr>
        <w:rPr>
          <w:rFonts w:eastAsia="Times New Roman" w:cs="Times New Roman"/>
          <w:color w:val="000000"/>
          <w:sz w:val="22"/>
        </w:rPr>
      </w:pPr>
    </w:p>
    <w:p w14:paraId="4F1C2A2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Electromagnetic waves in the THz spectral band (roughly covering the 0.1 - 3 THz frequency range) offer unique properties for chemical identification, non-destructive imaging, and remote sensing. However, existing THz devices, such as THz sources and detectors, have not yet provided all of the functionalities required to fulfill many of these applications. Although Complementary metal–oxide–semiconductor (CMOS) technologies have been offering robust solutions below 1 THz, the high-frequency portion of the THz band still lacks mature devices. For example, most of the THz imaging and spectroscopy systems utilize single-pixel detectors, which results in a severe trade-off between the measurement time and field-of-view. </w:t>
      </w:r>
    </w:p>
    <w:p w14:paraId="0689A1D1" w14:textId="77777777" w:rsidR="00C9232E" w:rsidRPr="00D0206E" w:rsidRDefault="00C9232E" w:rsidP="00C9232E">
      <w:pPr>
        <w:rPr>
          <w:rFonts w:eastAsia="Times New Roman" w:cs="Times New Roman"/>
          <w:noProof/>
          <w:color w:val="000000"/>
          <w:sz w:val="22"/>
        </w:rPr>
      </w:pPr>
    </w:p>
    <w:p w14:paraId="6911704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To address this problem, a large pixel count, high dynamic range, high speed, and broadband THz focal plane array (THz-FPA) needs to be developed. The proposed THz-FPA can operate either as a frequency-tunable continuous-wave detector or a broadband-pulsed detector. It should be able to operate over a 1 - 3 THz frequency range, while offering above 30 dB dynamic range per pixel. It should have more than 1 kilo pixels and a frame rate of at least 1 Hz. Smart readout integrated circuits to increase the data collection efficiency and frame-rate can be investigated.</w:t>
      </w:r>
    </w:p>
    <w:p w14:paraId="5D0CDA63" w14:textId="77777777" w:rsidR="00C9232E" w:rsidRPr="00D0206E" w:rsidRDefault="00C9232E" w:rsidP="00C9232E">
      <w:pPr>
        <w:rPr>
          <w:rFonts w:eastAsia="Times New Roman" w:cs="Times New Roman"/>
          <w:color w:val="000000"/>
          <w:sz w:val="22"/>
        </w:rPr>
      </w:pPr>
    </w:p>
    <w:p w14:paraId="5122E13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Demonstrate a proof-of-concept THz-FPA with at least 16 pixels. Show that each pixel of the THz-FPA meets the dynamic range and bandwidth requirements. Introduce a data readout method that can maintain the large dynamic range and broad bandwidth requirements for more than 1 kilo pixels and a frame rate of at least 1 Hz. Develop a Phase II plan that includes technology integration, test and validation with representative structures.</w:t>
      </w:r>
    </w:p>
    <w:p w14:paraId="42266E8B" w14:textId="77777777" w:rsidR="00C9232E" w:rsidRPr="00D0206E" w:rsidRDefault="00C9232E" w:rsidP="00C9232E">
      <w:pPr>
        <w:rPr>
          <w:rFonts w:eastAsia="Times New Roman" w:cs="Times New Roman"/>
          <w:color w:val="000000"/>
          <w:sz w:val="22"/>
        </w:rPr>
      </w:pPr>
    </w:p>
    <w:p w14:paraId="576B9E7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Realize the THz-FPA consisting of at least 1 kilo pixels integrated with the read-out circuits. Demonstrate the functionality of the final prototype to take THz images with more than a 30 dB dynamic range over a 1-3 THz bandwidth in less than 1 second. The prototype system will vary based on the proposed approach, but it may include hardware and software. Develop technology transition plan and business case assessment.</w:t>
      </w:r>
    </w:p>
    <w:p w14:paraId="56AC1300" w14:textId="77777777" w:rsidR="00C9232E" w:rsidRPr="00D0206E" w:rsidRDefault="00C9232E" w:rsidP="00C9232E">
      <w:pPr>
        <w:rPr>
          <w:rFonts w:eastAsia="Times New Roman" w:cs="Times New Roman"/>
          <w:color w:val="000000"/>
          <w:sz w:val="22"/>
        </w:rPr>
      </w:pPr>
    </w:p>
    <w:p w14:paraId="2261CEE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Broadband THz Imaging focal plane arrays enable sensors for detailed feature and frequency spectrum capture that support several DoD missions, among these are battlespace target assessment, surveillance in low-visibility conditions, and nondestructive material quality control (e.g., defects/corrosion in ship, aircraft, vehicle components), and law enforcement agencies for detection of illicit drugs and narcotics, and regulatory agencies (e.g., FDA, NIFA) for detection of toxins in drug, food, and agricultural products.</w:t>
      </w:r>
    </w:p>
    <w:p w14:paraId="1D4C3177" w14:textId="77777777" w:rsidR="00C9232E" w:rsidRPr="00D0206E" w:rsidRDefault="00C9232E" w:rsidP="00C9232E">
      <w:pPr>
        <w:rPr>
          <w:rFonts w:eastAsia="Times New Roman" w:cs="Times New Roman"/>
          <w:color w:val="000000"/>
          <w:sz w:val="22"/>
        </w:rPr>
      </w:pPr>
    </w:p>
    <w:p w14:paraId="0F12742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1FDDDEB" w14:textId="7D94D49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Tonouchi, M. “Cutting-edge terahertz technology.” Nature Photonics, 1(2),2007, pp. 97-105. </w:t>
      </w:r>
      <w:hyperlink r:id="rId175" w:history="1">
        <w:r w:rsidR="00864C99" w:rsidRPr="007743A7">
          <w:rPr>
            <w:rStyle w:val="Hyperlink"/>
            <w:rFonts w:eastAsia="Times New Roman" w:cs="Times New Roman"/>
            <w:noProof/>
            <w:sz w:val="22"/>
          </w:rPr>
          <w:t>https://www.nature.com/articles/nphoton.2007.3</w:t>
        </w:r>
      </w:hyperlink>
      <w:r w:rsidR="00864C99">
        <w:rPr>
          <w:rFonts w:eastAsia="Times New Roman" w:cs="Times New Roman"/>
          <w:noProof/>
          <w:color w:val="000000"/>
          <w:sz w:val="22"/>
        </w:rPr>
        <w:t xml:space="preserve"> </w:t>
      </w:r>
    </w:p>
    <w:p w14:paraId="68A616F8" w14:textId="77777777" w:rsidR="00E25780" w:rsidRDefault="00E25780" w:rsidP="00C9232E">
      <w:pPr>
        <w:rPr>
          <w:rFonts w:eastAsia="Times New Roman" w:cs="Times New Roman"/>
          <w:noProof/>
          <w:color w:val="000000"/>
          <w:sz w:val="22"/>
        </w:rPr>
      </w:pPr>
    </w:p>
    <w:p w14:paraId="13376899" w14:textId="2575626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Al Hadi, R., Sherry, H., Grzyb, J., Zhao, Y., Forster, W., Keller, H. M., Cathelin, A., Kaiser, A., and Pfeiffer, U. R.. “A 1 k-pixel video camera for 0.7–1.1 terahertz imaging applications in 65-nm CMOS.” IEEE Journal of Solid-State Circuits, 47(12), 2012, pp. 2999-3012. </w:t>
      </w:r>
      <w:hyperlink r:id="rId176" w:history="1">
        <w:r w:rsidR="00864C99" w:rsidRPr="007743A7">
          <w:rPr>
            <w:rStyle w:val="Hyperlink"/>
            <w:rFonts w:eastAsia="Times New Roman" w:cs="Times New Roman"/>
            <w:noProof/>
            <w:sz w:val="22"/>
          </w:rPr>
          <w:t>https://www.semanticscholar.org/paper/A-1-k-Pixel-Video-Camera-for-0.7–1.1-Terahertz-in-Hadi-Sherry/4794675927847b4dc49105f9e9467e05e4bdc8a4</w:t>
        </w:r>
      </w:hyperlink>
      <w:r w:rsidR="00864C99">
        <w:rPr>
          <w:rFonts w:eastAsia="Times New Roman" w:cs="Times New Roman"/>
          <w:noProof/>
          <w:color w:val="000000"/>
          <w:sz w:val="22"/>
        </w:rPr>
        <w:t xml:space="preserve"> </w:t>
      </w:r>
    </w:p>
    <w:p w14:paraId="1D758859" w14:textId="77777777" w:rsidR="00E25780" w:rsidRDefault="00E25780" w:rsidP="00C9232E">
      <w:pPr>
        <w:rPr>
          <w:rFonts w:eastAsia="Times New Roman" w:cs="Times New Roman"/>
          <w:noProof/>
          <w:color w:val="000000"/>
          <w:sz w:val="22"/>
        </w:rPr>
      </w:pPr>
    </w:p>
    <w:p w14:paraId="4FB48275" w14:textId="072512E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Burford, N. M., &amp; El-Shenawee, M. O. “Review of terahertz photoconductive antenna technology.” Optical Engineering, 56(1), 2017. </w:t>
      </w:r>
      <w:hyperlink r:id="rId177" w:history="1">
        <w:r w:rsidR="00864C99" w:rsidRPr="007743A7">
          <w:rPr>
            <w:rStyle w:val="Hyperlink"/>
            <w:rFonts w:eastAsia="Times New Roman" w:cs="Times New Roman"/>
            <w:noProof/>
            <w:sz w:val="22"/>
          </w:rPr>
          <w:t>https://www.spiedigitallibrary.org/journals/Optical-Engineering/volume-56/issue-01/010901/Review-of-terahertz-photoconductive-antenna-technology/10.1117/1.OE.56.1.010901.full?SSO=1</w:t>
        </w:r>
      </w:hyperlink>
      <w:r w:rsidR="00864C99">
        <w:rPr>
          <w:rFonts w:eastAsia="Times New Roman" w:cs="Times New Roman"/>
          <w:noProof/>
          <w:color w:val="000000"/>
          <w:sz w:val="22"/>
        </w:rPr>
        <w:t xml:space="preserve"> </w:t>
      </w:r>
    </w:p>
    <w:p w14:paraId="5AFDAA47" w14:textId="77777777" w:rsidR="00C9232E" w:rsidRPr="00D0206E" w:rsidRDefault="00C9232E" w:rsidP="00C9232E">
      <w:pPr>
        <w:rPr>
          <w:rFonts w:eastAsia="Times New Roman" w:cs="Times New Roman"/>
          <w:color w:val="000000"/>
          <w:sz w:val="22"/>
        </w:rPr>
      </w:pPr>
    </w:p>
    <w:p w14:paraId="507A559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Broadband Terahertz, Imaging, Focal Plane Array</w:t>
      </w:r>
    </w:p>
    <w:p w14:paraId="003235A3" w14:textId="77777777" w:rsidR="00C9232E" w:rsidRPr="00D0206E" w:rsidRDefault="00C9232E" w:rsidP="00C9232E">
      <w:pPr>
        <w:rPr>
          <w:rFonts w:eastAsia="Times New Roman" w:cs="Times New Roman"/>
          <w:color w:val="000000"/>
          <w:sz w:val="22"/>
        </w:rPr>
      </w:pPr>
    </w:p>
    <w:p w14:paraId="52C77518" w14:textId="77777777" w:rsidR="00C9232E" w:rsidRPr="00D0206E" w:rsidRDefault="00C9232E" w:rsidP="00C9232E">
      <w:pPr>
        <w:tabs>
          <w:tab w:val="left" w:pos="1260"/>
        </w:tabs>
        <w:ind w:left="270"/>
        <w:rPr>
          <w:rFonts w:eastAsia="Times New Roman" w:cs="Times New Roman"/>
          <w:color w:val="000000"/>
          <w:sz w:val="22"/>
        </w:rPr>
      </w:pPr>
    </w:p>
    <w:p w14:paraId="48E402EB" w14:textId="77777777" w:rsidR="00C9232E" w:rsidRPr="00D0206E" w:rsidRDefault="00C9232E" w:rsidP="00C9232E">
      <w:pPr>
        <w:tabs>
          <w:tab w:val="left" w:pos="1260"/>
        </w:tabs>
        <w:ind w:left="270"/>
        <w:rPr>
          <w:rFonts w:eastAsia="Times New Roman" w:cs="Times New Roman"/>
          <w:color w:val="000000"/>
          <w:sz w:val="22"/>
        </w:rPr>
      </w:pPr>
    </w:p>
    <w:p w14:paraId="6E50CC1B" w14:textId="77777777" w:rsidR="00C9232E" w:rsidRPr="00D0206E" w:rsidRDefault="00C9232E" w:rsidP="00C9232E">
      <w:pPr>
        <w:tabs>
          <w:tab w:val="left" w:pos="1260"/>
        </w:tabs>
        <w:ind w:left="270"/>
        <w:rPr>
          <w:rFonts w:eastAsia="Times New Roman" w:cs="Times New Roman"/>
          <w:color w:val="000000"/>
          <w:sz w:val="22"/>
        </w:rPr>
      </w:pPr>
    </w:p>
    <w:p w14:paraId="2CB326BD" w14:textId="77777777" w:rsidR="00C9232E" w:rsidRPr="00D0206E" w:rsidRDefault="00C9232E" w:rsidP="00C9232E">
      <w:pPr>
        <w:rPr>
          <w:rFonts w:eastAsia="Times New Roman" w:cs="Times New Roman"/>
          <w:color w:val="000000"/>
          <w:sz w:val="22"/>
        </w:rPr>
      </w:pPr>
    </w:p>
    <w:p w14:paraId="6FE1EF1C" w14:textId="77777777" w:rsidR="00C9232E" w:rsidRPr="00D0206E" w:rsidRDefault="00C9232E" w:rsidP="00C9232E">
      <w:pPr>
        <w:rPr>
          <w:rFonts w:eastAsia="Times New Roman" w:cs="Times New Roman"/>
          <w:color w:val="000000"/>
          <w:sz w:val="22"/>
        </w:rPr>
      </w:pPr>
    </w:p>
    <w:p w14:paraId="499EE5D4"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6FE3DC24"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N202-126</w:t>
      </w:r>
      <w:r w:rsidRPr="00D0206E">
        <w:rPr>
          <w:rFonts w:eastAsia="Times New Roman" w:cs="Times New Roman"/>
          <w:color w:val="000000"/>
          <w:sz w:val="22"/>
        </w:rPr>
        <w:tab/>
        <w:t xml:space="preserve">TITLE: </w:t>
      </w:r>
      <w:r w:rsidRPr="00D0206E">
        <w:rPr>
          <w:rFonts w:eastAsia="Times New Roman" w:cs="Times New Roman"/>
          <w:noProof/>
          <w:color w:val="000000"/>
          <w:sz w:val="22"/>
        </w:rPr>
        <w:t>Scenario Development and Enhancement for Military Exercises</w:t>
      </w:r>
    </w:p>
    <w:p w14:paraId="13814106" w14:textId="77777777" w:rsidR="00C9232E" w:rsidRPr="00D0206E" w:rsidRDefault="00C9232E" w:rsidP="00C9232E">
      <w:pPr>
        <w:rPr>
          <w:rFonts w:eastAsia="Times New Roman" w:cs="Times New Roman"/>
          <w:color w:val="000000"/>
          <w:sz w:val="22"/>
        </w:rPr>
      </w:pPr>
    </w:p>
    <w:p w14:paraId="60A8450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Artificial Intelligence/ Machine Learning</w:t>
      </w:r>
    </w:p>
    <w:p w14:paraId="326D83E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Information Systems, Human Systems</w:t>
      </w:r>
    </w:p>
    <w:p w14:paraId="2E68E9CA" w14:textId="77777777" w:rsidR="00C9232E" w:rsidRPr="00D0206E" w:rsidRDefault="00C9232E" w:rsidP="00C9232E">
      <w:pPr>
        <w:rPr>
          <w:rFonts w:eastAsia="Times New Roman" w:cs="Times New Roman"/>
          <w:color w:val="000000"/>
          <w:sz w:val="22"/>
        </w:rPr>
      </w:pPr>
    </w:p>
    <w:p w14:paraId="09DDB3D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user-friendly capability to create background information and long-form exercise injects derived from seeds, drawing from a catalogue of already extant background material for content.</w:t>
      </w:r>
    </w:p>
    <w:p w14:paraId="19480CB4" w14:textId="77777777" w:rsidR="00C9232E" w:rsidRPr="00D0206E" w:rsidRDefault="00C9232E" w:rsidP="00C9232E">
      <w:pPr>
        <w:rPr>
          <w:rFonts w:eastAsia="Times New Roman" w:cs="Times New Roman"/>
          <w:color w:val="000000"/>
          <w:sz w:val="22"/>
        </w:rPr>
      </w:pPr>
    </w:p>
    <w:p w14:paraId="7C1C1C92"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Information environments in situations of conflict and warfare are hectic, chaotic, and hard to predict. Military exercises and training capabilities currently lack realistic material to help them to develop Tactics, Techniques, and Procedures (TTPs) and blunt information attacks; and compete effectively in conflict situations. Warfighters require realistic training capabilities and the capability to develop, test and validate TTPs for information maneuver; this requires realistic, rapidly generated content to facilitate scenario development, enhancement and maintenance during an exercise or training experience. </w:t>
      </w:r>
    </w:p>
    <w:p w14:paraId="5D80FC4E" w14:textId="77777777" w:rsidR="00C9232E" w:rsidRPr="00D0206E" w:rsidRDefault="00C9232E" w:rsidP="00C9232E">
      <w:pPr>
        <w:rPr>
          <w:rFonts w:eastAsia="Times New Roman" w:cs="Times New Roman"/>
          <w:noProof/>
          <w:color w:val="000000"/>
          <w:sz w:val="22"/>
        </w:rPr>
      </w:pPr>
    </w:p>
    <w:p w14:paraId="385C328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Simulation of the information environment is a difficult problem. Simulating Facebook posts, blogs, and other long-form inputs (200 to 800 words) is labor-intensive and difficult to scale. Artificial intelligence breakthroughs have created new capabilities to generate realistic content that would be suitable to support an information environment simulation.  </w:t>
      </w:r>
    </w:p>
    <w:p w14:paraId="440A1D22" w14:textId="77777777" w:rsidR="00C9232E" w:rsidRPr="00D0206E" w:rsidRDefault="00C9232E" w:rsidP="00C9232E">
      <w:pPr>
        <w:rPr>
          <w:rFonts w:eastAsia="Times New Roman" w:cs="Times New Roman"/>
          <w:noProof/>
          <w:color w:val="000000"/>
          <w:sz w:val="22"/>
        </w:rPr>
      </w:pPr>
    </w:p>
    <w:p w14:paraId="530C89E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GPT-2 model [Ref 1] and potentially other artificial intelligence solutions [Ref 2] provide useful starting points for realistic text simulation. This new language model and potentially other unsupervised multitask learners [Ref 3] have been demonstrated to perform downstream tasks in a “zero-shot” setting without any parameter or architecture modification. </w:t>
      </w:r>
    </w:p>
    <w:p w14:paraId="23123F20" w14:textId="77777777" w:rsidR="00C9232E" w:rsidRPr="00D0206E" w:rsidRDefault="00C9232E" w:rsidP="00C9232E">
      <w:pPr>
        <w:rPr>
          <w:rFonts w:eastAsia="Times New Roman" w:cs="Times New Roman"/>
          <w:noProof/>
          <w:color w:val="000000"/>
          <w:sz w:val="22"/>
        </w:rPr>
      </w:pPr>
    </w:p>
    <w:p w14:paraId="0E0C85EB"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desired capability is the capacity to generate realistic information inputs for simulated training and exercise environments. The capability should be able to generate text to fit in multiple formats (Facebook, blog, other social media) -  posts of 1-2 paragraphs, and long posts of 800 words (in English). The desired capability will have the ability to develop scenario materials for a refugee crisis, disaster scenario or a similar complex event;  to edit and perform quality checks;  to change and shift narratives; to add new events; and to catalog and index materials.</w:t>
      </w:r>
    </w:p>
    <w:p w14:paraId="117A534D" w14:textId="77777777" w:rsidR="00C9232E" w:rsidRPr="00D0206E" w:rsidRDefault="00C9232E" w:rsidP="00C9232E">
      <w:pPr>
        <w:rPr>
          <w:rFonts w:eastAsia="Times New Roman" w:cs="Times New Roman"/>
          <w:color w:val="000000"/>
          <w:sz w:val="22"/>
        </w:rPr>
      </w:pPr>
    </w:p>
    <w:p w14:paraId="1CDA7D0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Define and develop an initial capability for generating 50 to 200 word (approximate) synthetically generated texts with a user interface to allow for review, editing, tagging, and flagging of the produced material for initial assessment. Produced texts should be packaged to enable the flow of the materials into databases for input into a synthetic environment reservoir for test and evaluation. Develop a Phase II plan. Phase I Option, if exercised, will expand materials to develop a catalogue of synthetic background data, improve the user interface, and institute a tagging, flagging, and automatic or semi-automatic  indexing function.</w:t>
      </w:r>
    </w:p>
    <w:p w14:paraId="04FB3709" w14:textId="77777777" w:rsidR="00C9232E" w:rsidRPr="00D0206E" w:rsidRDefault="00C9232E" w:rsidP="00C9232E">
      <w:pPr>
        <w:rPr>
          <w:rFonts w:eastAsia="Times New Roman" w:cs="Times New Roman"/>
          <w:color w:val="000000"/>
          <w:sz w:val="22"/>
        </w:rPr>
      </w:pPr>
    </w:p>
    <w:p w14:paraId="347AFE4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a data editor and visualization capability to assist White Cell scenario authors to create narratives, inject new discourses and gists, and review the gists, discourse material and narratives in the reservoir. Improve the fidelity and capability of the Phase I product to generate texts from background materials, created by scenario authors, that are sufficiently realistic and on topic to meet a minimum of realistic level of volume and velocity (10K tweets an hour, 100 longer (up to 800 word) posts per hour).</w:t>
      </w:r>
    </w:p>
    <w:p w14:paraId="6D7ACC5A" w14:textId="77777777" w:rsidR="00C9232E" w:rsidRPr="00D0206E" w:rsidRDefault="00C9232E" w:rsidP="00C9232E">
      <w:pPr>
        <w:rPr>
          <w:rFonts w:eastAsia="Times New Roman" w:cs="Times New Roman"/>
          <w:color w:val="000000"/>
          <w:sz w:val="22"/>
        </w:rPr>
      </w:pPr>
    </w:p>
    <w:p w14:paraId="1AFE869E"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Develop the capability to attach discourses to personas and adjust texts to conform to target narratives and discourses, so that scenario creators can develop realistic </w:t>
      </w:r>
      <w:r w:rsidRPr="00D0206E">
        <w:rPr>
          <w:rFonts w:eastAsia="Times New Roman" w:cs="Times New Roman"/>
          <w:noProof/>
          <w:color w:val="000000"/>
          <w:sz w:val="22"/>
        </w:rPr>
        <w:lastRenderedPageBreak/>
        <w:t xml:space="preserve">stories for military exercises and training. Demonstrate the capability of flowing synthetic texts into simulation technologies and tools so that they can be used in an information conflict war game scenario, inject new material, and provide a realistic volume and velocity of data for a training exercise (50K tweets/hour, 1000 posts/hour). Investigate the feasibility of the capability to synthetize texts in other languages, to answer questions, and to perform translations.  </w:t>
      </w:r>
    </w:p>
    <w:p w14:paraId="317F20DC" w14:textId="77777777" w:rsidR="00C9232E" w:rsidRPr="00D0206E" w:rsidRDefault="00C9232E" w:rsidP="00C9232E">
      <w:pPr>
        <w:rPr>
          <w:rFonts w:eastAsia="Times New Roman" w:cs="Times New Roman"/>
          <w:noProof/>
          <w:color w:val="000000"/>
          <w:sz w:val="22"/>
        </w:rPr>
      </w:pPr>
    </w:p>
    <w:p w14:paraId="751C5A0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Marketing and brand name companies also require new capabilities to train staff in information conflict to support their brands when dealing with trolling, meme conflicts, and other social cyber-attacks in the information environment. Non-profits such as the Red Cross and other Western aid agencies have problems similar to the U.S. Government in defending their message against foreign attackers, seeking to diminish their reputations among target audiences.</w:t>
      </w:r>
    </w:p>
    <w:p w14:paraId="5BB5E082" w14:textId="77777777" w:rsidR="00C9232E" w:rsidRPr="00D0206E" w:rsidRDefault="00C9232E" w:rsidP="00C9232E">
      <w:pPr>
        <w:rPr>
          <w:rFonts w:eastAsia="Times New Roman" w:cs="Times New Roman"/>
          <w:color w:val="000000"/>
          <w:sz w:val="22"/>
        </w:rPr>
      </w:pPr>
    </w:p>
    <w:p w14:paraId="6B72B6B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2AD85C01" w14:textId="3ED37C9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“Better Language Models and Their Implications.” OpenAI, February 14, 2019. </w:t>
      </w:r>
      <w:hyperlink r:id="rId178" w:history="1">
        <w:r w:rsidR="00E453E2" w:rsidRPr="007743A7">
          <w:rPr>
            <w:rStyle w:val="Hyperlink"/>
            <w:rFonts w:eastAsia="Times New Roman" w:cs="Times New Roman"/>
            <w:noProof/>
            <w:sz w:val="22"/>
          </w:rPr>
          <w:t>https://openai.com/blog/better-language-models/</w:t>
        </w:r>
      </w:hyperlink>
      <w:r w:rsidR="00E453E2">
        <w:rPr>
          <w:rFonts w:eastAsia="Times New Roman" w:cs="Times New Roman"/>
          <w:noProof/>
          <w:color w:val="000000"/>
          <w:sz w:val="22"/>
        </w:rPr>
        <w:t xml:space="preserve"> </w:t>
      </w:r>
    </w:p>
    <w:p w14:paraId="1B452308" w14:textId="77777777" w:rsidR="00BB5417" w:rsidRDefault="00BB5417" w:rsidP="00C9232E">
      <w:pPr>
        <w:rPr>
          <w:rFonts w:eastAsia="Times New Roman" w:cs="Times New Roman"/>
          <w:noProof/>
          <w:color w:val="000000"/>
          <w:sz w:val="22"/>
        </w:rPr>
      </w:pPr>
    </w:p>
    <w:p w14:paraId="494E5DD1" w14:textId="73310073"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Vig, Jesse. “OpenAI GPT-2: Understanding Language Generation Through Visualization.”  Medium, 5 March 2019. </w:t>
      </w:r>
      <w:hyperlink r:id="rId179" w:history="1">
        <w:r w:rsidR="00E453E2" w:rsidRPr="007743A7">
          <w:rPr>
            <w:rStyle w:val="Hyperlink"/>
            <w:rFonts w:eastAsia="Times New Roman" w:cs="Times New Roman"/>
            <w:noProof/>
            <w:sz w:val="22"/>
          </w:rPr>
          <w:t>https://towardsdatascience.com/openai-gpt-2-understanding-language-generation-through-visualization-8252f683b2f8?gi=fc3e151fc89f</w:t>
        </w:r>
      </w:hyperlink>
      <w:r w:rsidR="00E453E2">
        <w:rPr>
          <w:rFonts w:eastAsia="Times New Roman" w:cs="Times New Roman"/>
          <w:noProof/>
          <w:color w:val="000000"/>
          <w:sz w:val="22"/>
        </w:rPr>
        <w:t xml:space="preserve"> </w:t>
      </w:r>
    </w:p>
    <w:p w14:paraId="11687EE5" w14:textId="77777777" w:rsidR="00BB5417" w:rsidRDefault="00BB5417" w:rsidP="00C9232E">
      <w:pPr>
        <w:rPr>
          <w:rFonts w:eastAsia="Times New Roman" w:cs="Times New Roman"/>
          <w:noProof/>
          <w:color w:val="000000"/>
          <w:sz w:val="22"/>
        </w:rPr>
      </w:pPr>
    </w:p>
    <w:p w14:paraId="5E71F164" w14:textId="703488E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Radford, Alec, We, Jeffrey, Child, Rewon, Luan, David, Amodel, Darlo and Sutskever. Ily. “Language Models are Unsupervised Multitask Learners.”  </w:t>
      </w:r>
      <w:hyperlink r:id="rId180" w:history="1">
        <w:r w:rsidR="00E453E2" w:rsidRPr="007743A7">
          <w:rPr>
            <w:rStyle w:val="Hyperlink"/>
            <w:rFonts w:eastAsia="Times New Roman" w:cs="Times New Roman"/>
            <w:noProof/>
            <w:sz w:val="22"/>
          </w:rPr>
          <w:t>https://d4mucfpksywv.cloudfront.net/better-language-models/language_models_are_unsupervised_multitask_learners.pdf</w:t>
        </w:r>
      </w:hyperlink>
      <w:r w:rsidR="00E453E2">
        <w:rPr>
          <w:rFonts w:eastAsia="Times New Roman" w:cs="Times New Roman"/>
          <w:noProof/>
          <w:color w:val="000000"/>
          <w:sz w:val="22"/>
        </w:rPr>
        <w:t xml:space="preserve"> </w:t>
      </w:r>
    </w:p>
    <w:p w14:paraId="54467AB2" w14:textId="77777777" w:rsidR="00C9232E" w:rsidRPr="00D0206E" w:rsidRDefault="00C9232E" w:rsidP="00C9232E">
      <w:pPr>
        <w:rPr>
          <w:rFonts w:eastAsia="Times New Roman" w:cs="Times New Roman"/>
          <w:color w:val="000000"/>
          <w:sz w:val="22"/>
        </w:rPr>
      </w:pPr>
    </w:p>
    <w:p w14:paraId="2EDDD1B0" w14:textId="77777777" w:rsidR="00C9232E" w:rsidRPr="00D0206E" w:rsidRDefault="00C9232E" w:rsidP="00C9232E">
      <w:pPr>
        <w:rPr>
          <w:rFonts w:eastAsia="Times New Roman" w:cs="Times New Roman"/>
          <w:color w:val="000000"/>
          <w:sz w:val="22"/>
        </w:rPr>
      </w:pPr>
    </w:p>
    <w:p w14:paraId="0EC20A4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National Language Processing, Artificial Intelligence, Information Operations, Military Exercises, Training</w:t>
      </w:r>
    </w:p>
    <w:p w14:paraId="4512231C" w14:textId="77777777" w:rsidR="00C9232E" w:rsidRPr="00D0206E" w:rsidRDefault="00C9232E" w:rsidP="00C9232E">
      <w:pPr>
        <w:rPr>
          <w:rFonts w:eastAsia="Times New Roman" w:cs="Times New Roman"/>
          <w:color w:val="000000"/>
          <w:sz w:val="22"/>
        </w:rPr>
      </w:pPr>
    </w:p>
    <w:p w14:paraId="511015F3" w14:textId="77777777" w:rsidR="00C9232E" w:rsidRPr="00D0206E" w:rsidRDefault="00C9232E" w:rsidP="00C9232E">
      <w:pPr>
        <w:tabs>
          <w:tab w:val="left" w:pos="1260"/>
        </w:tabs>
        <w:ind w:left="270"/>
        <w:rPr>
          <w:rFonts w:eastAsia="Times New Roman" w:cs="Times New Roman"/>
          <w:color w:val="000000"/>
          <w:sz w:val="22"/>
        </w:rPr>
      </w:pPr>
    </w:p>
    <w:p w14:paraId="7126F466" w14:textId="77777777" w:rsidR="00C9232E" w:rsidRPr="00D0206E" w:rsidRDefault="00C9232E" w:rsidP="00C9232E">
      <w:pPr>
        <w:tabs>
          <w:tab w:val="left" w:pos="1260"/>
        </w:tabs>
        <w:ind w:left="270"/>
        <w:rPr>
          <w:rFonts w:eastAsia="Times New Roman" w:cs="Times New Roman"/>
          <w:color w:val="000000"/>
          <w:sz w:val="22"/>
        </w:rPr>
      </w:pPr>
    </w:p>
    <w:p w14:paraId="7E7AE72F" w14:textId="77777777" w:rsidR="00C9232E" w:rsidRPr="00D0206E" w:rsidRDefault="00C9232E" w:rsidP="00C9232E">
      <w:pPr>
        <w:tabs>
          <w:tab w:val="left" w:pos="1260"/>
        </w:tabs>
        <w:ind w:left="270"/>
        <w:rPr>
          <w:rFonts w:eastAsia="Times New Roman" w:cs="Times New Roman"/>
          <w:color w:val="000000"/>
          <w:sz w:val="22"/>
        </w:rPr>
      </w:pPr>
    </w:p>
    <w:p w14:paraId="4C03F946" w14:textId="77777777" w:rsidR="00C9232E" w:rsidRPr="00D0206E" w:rsidRDefault="00C9232E" w:rsidP="00C9232E">
      <w:pPr>
        <w:rPr>
          <w:rFonts w:eastAsia="Times New Roman" w:cs="Times New Roman"/>
          <w:color w:val="000000"/>
          <w:sz w:val="22"/>
        </w:rPr>
      </w:pPr>
    </w:p>
    <w:p w14:paraId="4F7ECE5E" w14:textId="77777777" w:rsidR="00C9232E" w:rsidRPr="00D0206E" w:rsidRDefault="00C9232E" w:rsidP="00C9232E">
      <w:pPr>
        <w:rPr>
          <w:rFonts w:eastAsia="Times New Roman" w:cs="Times New Roman"/>
          <w:color w:val="000000"/>
          <w:sz w:val="22"/>
        </w:rPr>
      </w:pPr>
    </w:p>
    <w:p w14:paraId="4EBFC11E"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2D6074FD"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N202-127</w:t>
      </w:r>
      <w:r w:rsidRPr="00D0206E">
        <w:rPr>
          <w:rFonts w:eastAsia="Times New Roman" w:cs="Times New Roman"/>
          <w:color w:val="000000"/>
          <w:sz w:val="22"/>
        </w:rPr>
        <w:tab/>
        <w:t xml:space="preserve">TITLE: </w:t>
      </w:r>
      <w:r w:rsidRPr="00D0206E">
        <w:rPr>
          <w:rFonts w:eastAsia="Times New Roman" w:cs="Times New Roman"/>
          <w:noProof/>
          <w:color w:val="000000"/>
          <w:sz w:val="22"/>
        </w:rPr>
        <w:t>Electrical Energy Sensing Device for EOD Detection, Location and Diagnosis of Electronic Safe &amp; Armed Fuzes</w:t>
      </w:r>
    </w:p>
    <w:p w14:paraId="6874E6A0" w14:textId="77777777" w:rsidR="00C9232E" w:rsidRPr="00D0206E" w:rsidRDefault="00C9232E" w:rsidP="00C9232E">
      <w:pPr>
        <w:rPr>
          <w:rFonts w:eastAsia="Times New Roman" w:cs="Times New Roman"/>
          <w:color w:val="000000"/>
          <w:sz w:val="22"/>
        </w:rPr>
      </w:pPr>
    </w:p>
    <w:p w14:paraId="67C0645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5AD70E4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Sensors, Battlespace, Weapons</w:t>
      </w:r>
    </w:p>
    <w:p w14:paraId="074B0F50" w14:textId="77777777" w:rsidR="00C9232E" w:rsidRPr="00D0206E" w:rsidRDefault="00C9232E" w:rsidP="00C9232E">
      <w:pPr>
        <w:rPr>
          <w:rFonts w:eastAsia="Times New Roman" w:cs="Times New Roman"/>
          <w:color w:val="000000"/>
          <w:sz w:val="22"/>
        </w:rPr>
      </w:pPr>
    </w:p>
    <w:p w14:paraId="659723E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 electrical energy-sensing device for Explosive Ordnance Disposal (EOD) detection, location and diagnosis of Electronic Safe and Armed Fuzes (ESAF). The sensing device must be non-invasive and should interrogate the hazard from the furthest distance at which the solution can reliably function.  It should be in a hand-held form factor that is below 15 pounds, including the power supply.</w:t>
      </w:r>
    </w:p>
    <w:p w14:paraId="72499628" w14:textId="77777777" w:rsidR="00C9232E" w:rsidRPr="00D0206E" w:rsidRDefault="00C9232E" w:rsidP="00C9232E">
      <w:pPr>
        <w:rPr>
          <w:rFonts w:eastAsia="Times New Roman" w:cs="Times New Roman"/>
          <w:color w:val="000000"/>
          <w:sz w:val="22"/>
        </w:rPr>
      </w:pPr>
    </w:p>
    <w:p w14:paraId="0C1267AF"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Modern munitions are making increased use of ESAF which do not provide any external indications of their status (armed or not, energized or not, working or not, etc.). [Ref 1] These essentially unknown conditions pose increased risk to United States Explosive Ordnance Disposal (US EOD) technicians working on such items.  </w:t>
      </w:r>
    </w:p>
    <w:p w14:paraId="39204E76" w14:textId="77777777" w:rsidR="00C9232E" w:rsidRPr="00D0206E" w:rsidRDefault="00C9232E" w:rsidP="00C9232E">
      <w:pPr>
        <w:rPr>
          <w:rFonts w:eastAsia="Times New Roman" w:cs="Times New Roman"/>
          <w:noProof/>
          <w:color w:val="000000"/>
          <w:sz w:val="22"/>
        </w:rPr>
      </w:pPr>
    </w:p>
    <w:p w14:paraId="276ECCF3"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US EOD Forces have the need to non-invasively interrogate and diagnose the status of electronic components within fuzes from Unexploded Ordnance (UXO). Electronic fuzing can consist of electronic circuits, batteries, or charged capacitors within a metal fuze that initiate the firing train of the munition. In UXO situations, the ordnance fuze may not have functioned as designed, but still contains charged capacitors or a charged battery that can still function the munition, posing a threat to EOD technicians responsible for clearing the hazard.    </w:t>
      </w:r>
    </w:p>
    <w:p w14:paraId="60B95613" w14:textId="77777777" w:rsidR="00C9232E" w:rsidRPr="00D0206E" w:rsidRDefault="00C9232E" w:rsidP="00C9232E">
      <w:pPr>
        <w:rPr>
          <w:rFonts w:eastAsia="Times New Roman" w:cs="Times New Roman"/>
          <w:noProof/>
          <w:color w:val="000000"/>
          <w:sz w:val="22"/>
        </w:rPr>
      </w:pPr>
    </w:p>
    <w:p w14:paraId="412801E6"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US EOD Forces require the ability to determine the presence of a charged or depleted battery, firing capacitor, or active circuit within an electronic fuze. The fuze may be of an unknown type, with no previous knowledge of the internal fuze design or layout. The fuze body (ogive and housing) may be metallic or plastic. In addition, depending on design, electronic safe and armed fuzes fire in response to a variety of modalities, including but not limited to: radar, thermal, infrared (IR), acoustic or vibration effects. As such, US EOD Forces would interrogate the hazard from the furthest distance at which the solution can reliably function. The fuze cannot be touched or otherwise accessed. The following are essential characteristics:</w:t>
      </w:r>
    </w:p>
    <w:p w14:paraId="36DDBD15" w14:textId="77777777" w:rsidR="00C9232E" w:rsidRPr="00D0206E" w:rsidRDefault="00C9232E" w:rsidP="00C9232E">
      <w:pPr>
        <w:rPr>
          <w:rFonts w:eastAsia="Times New Roman" w:cs="Times New Roman"/>
          <w:noProof/>
          <w:color w:val="000000"/>
          <w:sz w:val="22"/>
        </w:rPr>
      </w:pPr>
    </w:p>
    <w:p w14:paraId="73AB9103"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Range:  To minimize the exposure to a potential hazard, the EOD technician must be able to work without contacting the UXO. If the EOD technician must be close to the ordnance item in order to function successfully, then to the greatest extent possible, the sensor should not trigger a target’s area denial, anti-tamper, or self-destruct features. Maximum standoff from the UXO for a reliable detection, location, and diagnosis is preferred.</w:t>
      </w:r>
    </w:p>
    <w:p w14:paraId="17E71DBF" w14:textId="77777777" w:rsidR="00C9232E" w:rsidRPr="00D0206E" w:rsidRDefault="00C9232E" w:rsidP="00C9232E">
      <w:pPr>
        <w:rPr>
          <w:rFonts w:eastAsia="Times New Roman" w:cs="Times New Roman"/>
          <w:noProof/>
          <w:color w:val="000000"/>
          <w:sz w:val="22"/>
        </w:rPr>
      </w:pPr>
    </w:p>
    <w:p w14:paraId="186CF36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Accuracy:  Determination of the presence of stored or active electrical energy. The EOD technician must be able to make a charged or depleted determination and be confident that the information is correct. Determination of the magnitude of said energy is highly desirable. The device should provide the diagnostic capability for fuze status such as armed or not, energized or not, working or not, etc. </w:t>
      </w:r>
    </w:p>
    <w:p w14:paraId="26C2165A" w14:textId="77777777" w:rsidR="00C9232E" w:rsidRPr="00D0206E" w:rsidRDefault="00C9232E" w:rsidP="00C9232E">
      <w:pPr>
        <w:rPr>
          <w:rFonts w:eastAsia="Times New Roman" w:cs="Times New Roman"/>
          <w:noProof/>
          <w:color w:val="000000"/>
          <w:sz w:val="22"/>
        </w:rPr>
      </w:pPr>
    </w:p>
    <w:p w14:paraId="7EE0380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Size, Weight, and Power (SWaP):  US EOD field units have limited capability to transport equipment; therefore, size and weight should be minimized. The device should have a form factor that is handheld, and weigh less than 15 pounds, including the power supply.</w:t>
      </w:r>
    </w:p>
    <w:p w14:paraId="7AD38E95" w14:textId="77777777" w:rsidR="00C9232E" w:rsidRPr="00D0206E" w:rsidRDefault="00C9232E" w:rsidP="00C9232E">
      <w:pPr>
        <w:rPr>
          <w:rFonts w:eastAsia="Times New Roman" w:cs="Times New Roman"/>
          <w:noProof/>
          <w:color w:val="000000"/>
          <w:sz w:val="22"/>
        </w:rPr>
      </w:pPr>
    </w:p>
    <w:p w14:paraId="2111E32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Environmental:  The current need for the device is for surface munition applications with an expected operating temperature range of 0 to 125 °F.</w:t>
      </w:r>
    </w:p>
    <w:p w14:paraId="46439D0A" w14:textId="77777777" w:rsidR="00C9232E" w:rsidRPr="00D0206E" w:rsidRDefault="00C9232E" w:rsidP="00C9232E">
      <w:pPr>
        <w:rPr>
          <w:rFonts w:eastAsia="Times New Roman" w:cs="Times New Roman"/>
          <w:color w:val="000000"/>
          <w:sz w:val="22"/>
        </w:rPr>
      </w:pPr>
    </w:p>
    <w:p w14:paraId="2AEC74F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 </w:t>
      </w:r>
      <w:r w:rsidRPr="00D0206E">
        <w:rPr>
          <w:rFonts w:eastAsia="Times New Roman" w:cs="Times New Roman"/>
          <w:noProof/>
          <w:color w:val="000000"/>
          <w:sz w:val="22"/>
        </w:rPr>
        <w:t>Demonstrate the feasibility of the concept in meeting Navy needs for an Electrical Energy Sensing Device for EOD detection, location, and diagnosis of ESAF. Establish that the concept can be feasibly developed into a useful product for the Navy.  Prepare a Phase II plan.</w:t>
      </w:r>
    </w:p>
    <w:p w14:paraId="4C508DAF" w14:textId="77777777" w:rsidR="00C9232E" w:rsidRPr="00D0206E" w:rsidRDefault="00C9232E" w:rsidP="00C9232E">
      <w:pPr>
        <w:rPr>
          <w:rFonts w:eastAsia="Times New Roman" w:cs="Times New Roman"/>
          <w:color w:val="000000"/>
          <w:sz w:val="22"/>
        </w:rPr>
      </w:pPr>
    </w:p>
    <w:p w14:paraId="49585DDF"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Develop a Phase II prototype for evaluation. Evaluate the prototype to determine its capability in meeting the performance goals defined in the Phase II Statement of Work (SoW) and the Navy need for Electrical Energy Sensing, in this case via a device that will enable US EOD technicians to detect, locate, and diagnose an Electronic Safe and Armed Device. Demonstrate the device capabilities on a variety of configurations including, but not limited to:  </w:t>
      </w:r>
    </w:p>
    <w:p w14:paraId="5E16120C" w14:textId="77777777" w:rsidR="00C9232E" w:rsidRPr="00D0206E" w:rsidRDefault="00C9232E" w:rsidP="00C34768">
      <w:pPr>
        <w:pStyle w:val="ListParagraph"/>
        <w:numPr>
          <w:ilvl w:val="0"/>
          <w:numId w:val="23"/>
        </w:numPr>
        <w:rPr>
          <w:noProof/>
          <w:color w:val="000000"/>
          <w:sz w:val="22"/>
          <w:szCs w:val="22"/>
        </w:rPr>
      </w:pPr>
      <w:r w:rsidRPr="00D0206E">
        <w:rPr>
          <w:noProof/>
          <w:color w:val="000000"/>
          <w:sz w:val="22"/>
          <w:szCs w:val="22"/>
        </w:rPr>
        <w:t xml:space="preserve">Known configurations: M762A1, M767A1, or M782 fuze for artillery rounds, the M7 spider anti-personnel munitions system, fuzes with area denial or anti-tamper features or self-destruct features [Ref 2],  </w:t>
      </w:r>
    </w:p>
    <w:p w14:paraId="0FBF2EA1" w14:textId="77777777" w:rsidR="00C9232E" w:rsidRPr="00D0206E" w:rsidRDefault="00C9232E" w:rsidP="00C34768">
      <w:pPr>
        <w:pStyle w:val="ListParagraph"/>
        <w:numPr>
          <w:ilvl w:val="0"/>
          <w:numId w:val="23"/>
        </w:numPr>
        <w:rPr>
          <w:noProof/>
          <w:color w:val="000000"/>
          <w:sz w:val="22"/>
          <w:szCs w:val="22"/>
        </w:rPr>
      </w:pPr>
      <w:r w:rsidRPr="00D0206E">
        <w:rPr>
          <w:noProof/>
          <w:color w:val="000000"/>
          <w:sz w:val="22"/>
          <w:szCs w:val="22"/>
        </w:rPr>
        <w:t xml:space="preserve">Unknown configurations with a variety of battery sizes and unique circuitry (IED surrogates).  </w:t>
      </w:r>
    </w:p>
    <w:p w14:paraId="346C88EB" w14:textId="77777777" w:rsidR="00C9232E" w:rsidRPr="00D0206E" w:rsidRDefault="00C9232E" w:rsidP="00C9232E">
      <w:pPr>
        <w:rPr>
          <w:rFonts w:eastAsia="Times New Roman" w:cs="Times New Roman"/>
          <w:noProof/>
          <w:color w:val="000000"/>
          <w:sz w:val="22"/>
        </w:rPr>
      </w:pPr>
    </w:p>
    <w:p w14:paraId="42CD5C37"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Deliver a minimum of five prototypes to the Navy for evaluation.</w:t>
      </w:r>
    </w:p>
    <w:p w14:paraId="5B577056" w14:textId="77777777" w:rsidR="00C9232E" w:rsidRPr="00D0206E" w:rsidRDefault="00C9232E" w:rsidP="00C9232E">
      <w:pPr>
        <w:rPr>
          <w:rFonts w:eastAsia="Times New Roman" w:cs="Times New Roman"/>
          <w:color w:val="000000"/>
          <w:sz w:val="22"/>
        </w:rPr>
      </w:pPr>
    </w:p>
    <w:p w14:paraId="447D829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Apply the knowledge gained in Phase II to build an advanced Electrical Energy Sensing Device suitably packaged with a power source and portable configuration. Statistically characterize the device performance to determine confidence and reliability across a selection on known and unknown ESAF configurations. Meet the desired Objective values of 80% confidence and 85% reliability. Collaborating with EOD technical and military staff, support test and validation to certify and qualify the system for US EOD use. Explore the potential to transfer the device to other military and commercial applications. Use market research and analysis to identify the most promising technology areas. Develop manufacturing plans to facilitate a smooth transition to the US EOD.as well as other industries such as construction or manufacturing technology.</w:t>
      </w:r>
    </w:p>
    <w:p w14:paraId="1E078B30" w14:textId="77777777" w:rsidR="00C9232E" w:rsidRPr="00D0206E" w:rsidRDefault="00C9232E" w:rsidP="00C9232E">
      <w:pPr>
        <w:rPr>
          <w:rFonts w:eastAsia="Times New Roman" w:cs="Times New Roman"/>
          <w:color w:val="000000"/>
          <w:sz w:val="22"/>
        </w:rPr>
      </w:pPr>
    </w:p>
    <w:p w14:paraId="227369F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0B5AF34" w14:textId="2A27683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Sauerlaender, Friedrich, Design Methodology for Safe and Arm Devices, Naval Air Weapons Center China Lake report TP8504, pp.4-5.</w:t>
      </w:r>
      <w:r w:rsidR="00C25BB1">
        <w:rPr>
          <w:rFonts w:eastAsia="Times New Roman" w:cs="Times New Roman"/>
          <w:noProof/>
          <w:color w:val="000000"/>
          <w:sz w:val="22"/>
        </w:rPr>
        <w:t xml:space="preserve"> </w:t>
      </w:r>
    </w:p>
    <w:p w14:paraId="4AF7705B" w14:textId="77777777" w:rsidR="00BB5417" w:rsidRDefault="00BB5417" w:rsidP="00C9232E">
      <w:pPr>
        <w:rPr>
          <w:rFonts w:eastAsia="Times New Roman" w:cs="Times New Roman"/>
          <w:noProof/>
          <w:color w:val="000000"/>
          <w:sz w:val="22"/>
        </w:rPr>
      </w:pPr>
    </w:p>
    <w:p w14:paraId="150F42BF" w14:textId="34EE044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“MIL-DTL-32264, DETAIL SPECIFICATION: FUZE, ARTILLERY, ELECTRONIC TIME, M762A1 AND FUZE, ELECTRONIC TIME, M767A1 LESS BOOSTER (30-AUG-2007) [SUPERSEDED BY MIL-DTL-32264A, A CONTROLLED DISTRIBUTION DOCUMENT].” EverySpec Standards, Everyspec.com, </w:t>
      </w:r>
      <w:hyperlink r:id="rId181" w:history="1">
        <w:r w:rsidR="00C25BB1" w:rsidRPr="007743A7">
          <w:rPr>
            <w:rStyle w:val="Hyperlink"/>
            <w:rFonts w:eastAsia="Times New Roman" w:cs="Times New Roman"/>
            <w:noProof/>
            <w:sz w:val="22"/>
          </w:rPr>
          <w:t>http://everyspec.com/MIL-SPECS/MIL-SPECS-MIL-DTL/MIL-DTL-32264_54467</w:t>
        </w:r>
      </w:hyperlink>
      <w:r w:rsidRPr="00D0206E">
        <w:rPr>
          <w:rFonts w:eastAsia="Times New Roman" w:cs="Times New Roman"/>
          <w:noProof/>
          <w:color w:val="000000"/>
          <w:sz w:val="22"/>
        </w:rPr>
        <w:t>.</w:t>
      </w:r>
      <w:r w:rsidR="00C25BB1">
        <w:rPr>
          <w:rFonts w:eastAsia="Times New Roman" w:cs="Times New Roman"/>
          <w:noProof/>
          <w:color w:val="000000"/>
          <w:sz w:val="22"/>
        </w:rPr>
        <w:t xml:space="preserve"> </w:t>
      </w:r>
    </w:p>
    <w:p w14:paraId="05805F99" w14:textId="77777777" w:rsidR="00C9232E" w:rsidRPr="00D0206E" w:rsidRDefault="00C9232E" w:rsidP="00C9232E">
      <w:pPr>
        <w:rPr>
          <w:rFonts w:eastAsia="Times New Roman" w:cs="Times New Roman"/>
          <w:color w:val="000000"/>
          <w:sz w:val="22"/>
        </w:rPr>
      </w:pPr>
    </w:p>
    <w:p w14:paraId="28E02BA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Electrical-Energy-Sensor, Fuze, US EOD, Detect, Locate, Diagnose</w:t>
      </w:r>
    </w:p>
    <w:p w14:paraId="3AF6780F" w14:textId="77777777" w:rsidR="00C9232E" w:rsidRPr="00D0206E" w:rsidRDefault="00C9232E" w:rsidP="00C9232E">
      <w:pPr>
        <w:rPr>
          <w:rFonts w:eastAsia="Times New Roman" w:cs="Times New Roman"/>
          <w:color w:val="000000"/>
          <w:sz w:val="22"/>
        </w:rPr>
      </w:pPr>
    </w:p>
    <w:p w14:paraId="6B22FCDE" w14:textId="77777777" w:rsidR="00C9232E" w:rsidRPr="00D0206E" w:rsidRDefault="00C9232E" w:rsidP="00C9232E">
      <w:pPr>
        <w:tabs>
          <w:tab w:val="left" w:pos="1260"/>
        </w:tabs>
        <w:ind w:left="270"/>
        <w:rPr>
          <w:rFonts w:eastAsia="Times New Roman" w:cs="Times New Roman"/>
          <w:color w:val="000000"/>
          <w:sz w:val="22"/>
        </w:rPr>
      </w:pPr>
    </w:p>
    <w:p w14:paraId="384BC370" w14:textId="77777777" w:rsidR="00C9232E" w:rsidRPr="00D0206E" w:rsidRDefault="00C9232E" w:rsidP="00C9232E">
      <w:pPr>
        <w:tabs>
          <w:tab w:val="left" w:pos="1260"/>
        </w:tabs>
        <w:ind w:left="270"/>
        <w:rPr>
          <w:rFonts w:eastAsia="Times New Roman" w:cs="Times New Roman"/>
          <w:color w:val="000000"/>
          <w:sz w:val="22"/>
        </w:rPr>
      </w:pPr>
    </w:p>
    <w:p w14:paraId="4D958404" w14:textId="77777777" w:rsidR="00C9232E" w:rsidRPr="00D0206E" w:rsidRDefault="00C9232E" w:rsidP="00C9232E">
      <w:pPr>
        <w:tabs>
          <w:tab w:val="left" w:pos="1260"/>
        </w:tabs>
        <w:ind w:left="270"/>
        <w:rPr>
          <w:rFonts w:eastAsia="Times New Roman" w:cs="Times New Roman"/>
          <w:color w:val="000000"/>
          <w:sz w:val="22"/>
        </w:rPr>
      </w:pPr>
    </w:p>
    <w:p w14:paraId="7BF66F9B" w14:textId="77777777" w:rsidR="00C9232E" w:rsidRPr="00D0206E" w:rsidRDefault="00C9232E" w:rsidP="00C9232E">
      <w:pPr>
        <w:rPr>
          <w:rFonts w:eastAsia="Times New Roman" w:cs="Times New Roman"/>
          <w:color w:val="000000"/>
          <w:sz w:val="22"/>
        </w:rPr>
      </w:pPr>
    </w:p>
    <w:p w14:paraId="38248B90" w14:textId="77777777" w:rsidR="00C9232E" w:rsidRPr="00D0206E" w:rsidRDefault="00C9232E" w:rsidP="00C9232E">
      <w:pPr>
        <w:rPr>
          <w:rFonts w:eastAsia="Times New Roman" w:cs="Times New Roman"/>
          <w:color w:val="000000"/>
          <w:sz w:val="22"/>
        </w:rPr>
      </w:pPr>
    </w:p>
    <w:p w14:paraId="6D0AEFB2"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79A7E71"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N202-128</w:t>
      </w:r>
      <w:r w:rsidRPr="00D0206E">
        <w:rPr>
          <w:rFonts w:eastAsia="Times New Roman" w:cs="Times New Roman"/>
          <w:color w:val="000000"/>
          <w:sz w:val="22"/>
        </w:rPr>
        <w:tab/>
        <w:t xml:space="preserve">TITLE: </w:t>
      </w:r>
      <w:r w:rsidRPr="00D0206E">
        <w:rPr>
          <w:rFonts w:eastAsia="Times New Roman" w:cs="Times New Roman"/>
          <w:noProof/>
          <w:color w:val="000000"/>
          <w:sz w:val="22"/>
        </w:rPr>
        <w:t>Innovative Approaches in Design and Fabrication of 3D Braided Ceramic Matrix Composites (CMC) Fasteners</w:t>
      </w:r>
    </w:p>
    <w:p w14:paraId="5CF19BC7" w14:textId="77777777" w:rsidR="00C9232E" w:rsidRPr="00D0206E" w:rsidRDefault="00C9232E" w:rsidP="00C9232E">
      <w:pPr>
        <w:rPr>
          <w:rFonts w:eastAsia="Times New Roman" w:cs="Times New Roman"/>
          <w:color w:val="000000"/>
          <w:sz w:val="22"/>
        </w:rPr>
      </w:pPr>
    </w:p>
    <w:p w14:paraId="3BF1FC4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4D67371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Materials</w:t>
      </w:r>
    </w:p>
    <w:p w14:paraId="0BB908EF" w14:textId="77777777" w:rsidR="00C9232E" w:rsidRPr="00D0206E" w:rsidRDefault="00C9232E" w:rsidP="00C9232E">
      <w:pPr>
        <w:rPr>
          <w:rFonts w:eastAsia="Times New Roman" w:cs="Times New Roman"/>
          <w:color w:val="000000"/>
          <w:sz w:val="22"/>
        </w:rPr>
      </w:pPr>
    </w:p>
    <w:p w14:paraId="5498664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599A1FD" w14:textId="77777777" w:rsidR="00C9232E" w:rsidRPr="00D0206E" w:rsidRDefault="00C9232E" w:rsidP="00C9232E">
      <w:pPr>
        <w:rPr>
          <w:rFonts w:eastAsia="Times New Roman" w:cs="Times New Roman"/>
          <w:color w:val="000000"/>
          <w:sz w:val="22"/>
        </w:rPr>
      </w:pPr>
    </w:p>
    <w:p w14:paraId="21E8571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technologies to design and fabricate 3D CMC fasteners for mechanically attaching CMC Propulsion and/or Structural components to metals.</w:t>
      </w:r>
    </w:p>
    <w:p w14:paraId="696170F5" w14:textId="77777777" w:rsidR="00C9232E" w:rsidRPr="00D0206E" w:rsidRDefault="00C9232E" w:rsidP="00C9232E">
      <w:pPr>
        <w:rPr>
          <w:rFonts w:eastAsia="Times New Roman" w:cs="Times New Roman"/>
          <w:color w:val="000000"/>
          <w:sz w:val="22"/>
        </w:rPr>
      </w:pPr>
    </w:p>
    <w:p w14:paraId="5A3746E9"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Ceramic Matrix Composites (CMCs) are attractive for propulsion applications due to their potential for higher temperature capability, weight reduction, and durability improvements. However, CMCs present design challenges due to their anisotropic properties, generally low interlaminar shear strength, low bearing strength, limited strain tolerance, and their reaction with alloy components at CMC/alloy interfaces [Ref 1]. Currently the prevalent mode of joining CMC to metals is to use metallic fasteners. Since the CMC component has lower Coefficient of Thermal Expansion (CTE), and bearing strength, it is desirable to use CMC fasteners for the attachments.</w:t>
      </w:r>
    </w:p>
    <w:p w14:paraId="15A845A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73856F9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current baseline for a CMC fastener is the Miller fastener [Ref 2], which is a 2D, laminated CMC design with a rectangular cross-section. It is susceptible to stress concentrations at the corners and failure due to delamination. As such, it has not found wide acceptance in the industry. In this topic a 3D braided solution is sought which can be fabricated to near net-shape. This will eliminate delamination as a potential failure mode and reduce scrap during production. </w:t>
      </w:r>
    </w:p>
    <w:p w14:paraId="6117A03E" w14:textId="77777777" w:rsidR="00C9232E" w:rsidRPr="00D0206E" w:rsidRDefault="00C9232E" w:rsidP="00C9232E">
      <w:pPr>
        <w:rPr>
          <w:rFonts w:eastAsia="Times New Roman" w:cs="Times New Roman"/>
          <w:noProof/>
          <w:color w:val="000000"/>
          <w:sz w:val="22"/>
        </w:rPr>
      </w:pPr>
    </w:p>
    <w:p w14:paraId="626B4C0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Proposers to this topic have to address two areas in their response. The first is to make a textile preform without over braiding over an insert as is typically done for non-uniform cross-section. Use of inserts is not desirable even if it is removed prior to consolidation as it may result in unacceptable porosity in the fastener during Pyrolysis and Infiltration Process (PIP) to consolidate the fastener. </w:t>
      </w:r>
    </w:p>
    <w:p w14:paraId="494FA844" w14:textId="77777777" w:rsidR="00C9232E" w:rsidRPr="00D0206E" w:rsidRDefault="00C9232E" w:rsidP="00C9232E">
      <w:pPr>
        <w:rPr>
          <w:rFonts w:eastAsia="Times New Roman" w:cs="Times New Roman"/>
          <w:noProof/>
          <w:color w:val="000000"/>
          <w:sz w:val="22"/>
        </w:rPr>
      </w:pPr>
    </w:p>
    <w:p w14:paraId="0FF713B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second area that proposers must address is the interfacial coating of the 3D fastener preform. Typical fiber coating for SiC/SiC CMC is a two layer BN/Si3N4, it is usually applied through Chemical Vapor Deposition (CVD) or Atomic Layer Deposition (ALD). The coating protects the CMC fibers during high temperature CMC consolidation. Applying it to a 3D preform could pose a challenge due to the tortuous path the gases have to take through the preform and there is a risk some portions of the preform may not be coated. It is important that the proposers articulate their approach.</w:t>
      </w:r>
    </w:p>
    <w:p w14:paraId="14BD2E1A" w14:textId="77777777" w:rsidR="00C9232E" w:rsidRPr="00D0206E" w:rsidRDefault="00C9232E" w:rsidP="00C9232E">
      <w:pPr>
        <w:rPr>
          <w:rFonts w:eastAsia="Times New Roman" w:cs="Times New Roman"/>
          <w:noProof/>
          <w:color w:val="000000"/>
          <w:sz w:val="22"/>
        </w:rPr>
      </w:pPr>
    </w:p>
    <w:p w14:paraId="389E594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Successful completion of the program will result in an enabling technology to join CMC components to metals. This technology is targeted for future platforms but can provide retrofit solutions for existing platforms.</w:t>
      </w:r>
    </w:p>
    <w:p w14:paraId="2DD33390" w14:textId="77777777" w:rsidR="00C9232E" w:rsidRPr="00D0206E" w:rsidRDefault="00C9232E" w:rsidP="00C9232E">
      <w:pPr>
        <w:rPr>
          <w:rFonts w:eastAsia="Times New Roman" w:cs="Times New Roman"/>
          <w:color w:val="000000"/>
          <w:sz w:val="22"/>
        </w:rPr>
      </w:pPr>
    </w:p>
    <w:p w14:paraId="1A6DD51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 xml:space="preserve">Develop an innovative attachment concept for a realistic propulsion component that would benefit from a CMC application, but where a joining approach to an alloy is required as a critical enabler. </w:t>
      </w:r>
      <w:r w:rsidRPr="00D0206E">
        <w:rPr>
          <w:rFonts w:eastAsia="Times New Roman" w:cs="Times New Roman"/>
          <w:noProof/>
          <w:color w:val="000000"/>
          <w:sz w:val="22"/>
        </w:rPr>
        <w:lastRenderedPageBreak/>
        <w:t>Determine feasibility through analysis, fabrication, and testing of sub-element samples under thermal and mechanical environments.</w:t>
      </w:r>
    </w:p>
    <w:p w14:paraId="02946232" w14:textId="77777777" w:rsidR="00C9232E" w:rsidRPr="00D0206E" w:rsidRDefault="00C9232E" w:rsidP="00C9232E">
      <w:pPr>
        <w:rPr>
          <w:rFonts w:eastAsia="Times New Roman" w:cs="Times New Roman"/>
          <w:noProof/>
          <w:color w:val="000000"/>
          <w:sz w:val="22"/>
        </w:rPr>
      </w:pPr>
    </w:p>
    <w:p w14:paraId="1187CA4B"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To evaluate the proposed technologies, the successful Phase I companies will fabricate SiC/SiC CMC fasteners that are 2 in. long, 0.375 in. diameter with a 45 degree countersink angle at the head. To prove feasibility the performers will provide: (1) Braid architecture design and estimate of the mechanical strengths, (2) evidence of successful coating through appropriate testing using SEM and/or FTIR, (3) evidence of matrix infiltration through porosity measurements, and (4) mechanical, wear, and recession data for fastener strengths under tension and shear which will be compared against their initial predictions. Finally, since CMC fasteners are not typically threaded, the performer will demonstrate using a flat CMC panel and metal plate the attachment scheme for securing the CMC panel to metal plate.</w:t>
      </w:r>
    </w:p>
    <w:p w14:paraId="21686695" w14:textId="77777777" w:rsidR="00C9232E" w:rsidRPr="00D0206E" w:rsidRDefault="00C9232E" w:rsidP="00C9232E">
      <w:pPr>
        <w:rPr>
          <w:rFonts w:eastAsia="Times New Roman" w:cs="Times New Roman"/>
          <w:color w:val="000000"/>
          <w:sz w:val="22"/>
        </w:rPr>
      </w:pPr>
    </w:p>
    <w:p w14:paraId="3D34299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Design, fabricate, and test prototype samples to a specific component to thoroughly validate the capability of the approach. Test an engine component employing the joining methodology in a representative rig or engine environment to validate the approach.</w:t>
      </w:r>
    </w:p>
    <w:p w14:paraId="152D2A74" w14:textId="77777777" w:rsidR="00C9232E" w:rsidRPr="00D0206E" w:rsidRDefault="00C9232E" w:rsidP="00C9232E">
      <w:pPr>
        <w:rPr>
          <w:rFonts w:eastAsia="Times New Roman" w:cs="Times New Roman"/>
          <w:color w:val="000000"/>
          <w:sz w:val="22"/>
        </w:rPr>
      </w:pPr>
    </w:p>
    <w:p w14:paraId="00C26362"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Optimize the attachment/restraint methodology. Productionize and qualify the improved component.  </w:t>
      </w:r>
    </w:p>
    <w:p w14:paraId="3C6B65C4" w14:textId="77777777" w:rsidR="00C9232E" w:rsidRPr="00D0206E" w:rsidRDefault="00C9232E" w:rsidP="00C9232E">
      <w:pPr>
        <w:rPr>
          <w:rFonts w:eastAsia="Times New Roman" w:cs="Times New Roman"/>
          <w:noProof/>
          <w:color w:val="000000"/>
          <w:sz w:val="22"/>
        </w:rPr>
      </w:pPr>
    </w:p>
    <w:p w14:paraId="7F2BEEC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commercial airline industry, military aircraft, aerospace industry, and high-performance automobile industry seek CMC joining as a critical enabler for reducing weight and increasing efficiencies.</w:t>
      </w:r>
    </w:p>
    <w:p w14:paraId="53739CFC" w14:textId="77777777" w:rsidR="00C9232E" w:rsidRPr="00D0206E" w:rsidRDefault="00C9232E" w:rsidP="00C9232E">
      <w:pPr>
        <w:rPr>
          <w:rFonts w:eastAsia="Times New Roman" w:cs="Times New Roman"/>
          <w:color w:val="000000"/>
          <w:sz w:val="22"/>
        </w:rPr>
      </w:pPr>
    </w:p>
    <w:p w14:paraId="155A49F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3D52B9A" w14:textId="237E6D5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Evans, Anthony G, ”Implementation Challenges for High-Temperature Composites.” International Science Lecture Series, Fifth Lecture. Washington, D.C.: National Academy Press. National Research Council (U.S.). Naval Studies Board, and United States. Office of Naval Research. 1997.</w:t>
      </w:r>
      <w:r w:rsidR="00C25BB1">
        <w:rPr>
          <w:rFonts w:eastAsia="Times New Roman" w:cs="Times New Roman"/>
          <w:noProof/>
          <w:color w:val="000000"/>
          <w:sz w:val="22"/>
        </w:rPr>
        <w:t xml:space="preserve"> </w:t>
      </w:r>
    </w:p>
    <w:p w14:paraId="0F7CFAF7" w14:textId="77777777" w:rsidR="006A49EF" w:rsidRDefault="006A49EF" w:rsidP="00C9232E">
      <w:pPr>
        <w:rPr>
          <w:rFonts w:eastAsia="Times New Roman" w:cs="Times New Roman"/>
          <w:noProof/>
          <w:color w:val="000000"/>
          <w:sz w:val="22"/>
        </w:rPr>
      </w:pPr>
    </w:p>
    <w:p w14:paraId="63F691BA" w14:textId="1BD6836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2. Miller, et al., “Composite Fastener for Use in High Temperature Environments”, US Patent 6045310, Apr 4 2000.</w:t>
      </w:r>
    </w:p>
    <w:p w14:paraId="51AD002A" w14:textId="77777777" w:rsidR="006A49EF" w:rsidRDefault="006A49EF" w:rsidP="00C9232E">
      <w:pPr>
        <w:rPr>
          <w:rFonts w:eastAsia="Times New Roman" w:cs="Times New Roman"/>
          <w:noProof/>
          <w:color w:val="000000"/>
          <w:sz w:val="22"/>
        </w:rPr>
      </w:pPr>
    </w:p>
    <w:p w14:paraId="05418429" w14:textId="48B48DB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3. Kyosev, Y, “Advances in Braiding Technology: Specialized Techniques and Applications”, Elsevier, Cambridge, 2016</w:t>
      </w:r>
    </w:p>
    <w:p w14:paraId="3D77C879" w14:textId="77777777" w:rsidR="00C9232E" w:rsidRPr="00D0206E" w:rsidRDefault="00C9232E" w:rsidP="00C9232E">
      <w:pPr>
        <w:rPr>
          <w:rFonts w:eastAsia="Times New Roman" w:cs="Times New Roman"/>
          <w:color w:val="000000"/>
          <w:sz w:val="22"/>
        </w:rPr>
      </w:pPr>
    </w:p>
    <w:p w14:paraId="3752B0E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Ceramic Matrix Composite (CMC), Joining, Fastening, Attachments, 3D preforming</w:t>
      </w:r>
    </w:p>
    <w:p w14:paraId="7A59A425" w14:textId="77777777" w:rsidR="00C9232E" w:rsidRPr="00D0206E" w:rsidRDefault="00C9232E" w:rsidP="00C9232E">
      <w:pPr>
        <w:rPr>
          <w:rFonts w:eastAsia="Times New Roman" w:cs="Times New Roman"/>
          <w:color w:val="000000"/>
          <w:sz w:val="22"/>
        </w:rPr>
      </w:pPr>
    </w:p>
    <w:p w14:paraId="603CF595" w14:textId="77777777" w:rsidR="00C9232E" w:rsidRPr="00D0206E" w:rsidRDefault="00C9232E" w:rsidP="00C9232E">
      <w:pPr>
        <w:tabs>
          <w:tab w:val="left" w:pos="1260"/>
        </w:tabs>
        <w:ind w:left="270"/>
        <w:rPr>
          <w:rFonts w:eastAsia="Times New Roman" w:cs="Times New Roman"/>
          <w:color w:val="000000"/>
          <w:sz w:val="22"/>
        </w:rPr>
      </w:pPr>
    </w:p>
    <w:p w14:paraId="1DA63A5C" w14:textId="77777777" w:rsidR="00C9232E" w:rsidRPr="00D0206E" w:rsidRDefault="00C9232E" w:rsidP="00C9232E">
      <w:pPr>
        <w:rPr>
          <w:rFonts w:eastAsia="Times New Roman" w:cs="Times New Roman"/>
          <w:color w:val="000000"/>
          <w:sz w:val="22"/>
        </w:rPr>
      </w:pPr>
    </w:p>
    <w:p w14:paraId="0D199E1D" w14:textId="77777777" w:rsidR="00C9232E" w:rsidRPr="00D0206E" w:rsidRDefault="00C9232E" w:rsidP="00C9232E">
      <w:pPr>
        <w:rPr>
          <w:rFonts w:eastAsia="Times New Roman" w:cs="Times New Roman"/>
          <w:color w:val="000000"/>
          <w:sz w:val="22"/>
        </w:rPr>
      </w:pPr>
    </w:p>
    <w:p w14:paraId="2AD364FA"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0AD58545"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N202-129</w:t>
      </w:r>
      <w:r w:rsidRPr="00D0206E">
        <w:rPr>
          <w:rFonts w:eastAsia="Times New Roman" w:cs="Times New Roman"/>
          <w:color w:val="000000"/>
          <w:sz w:val="22"/>
        </w:rPr>
        <w:tab/>
        <w:t xml:space="preserve">TITLE: </w:t>
      </w:r>
      <w:r w:rsidRPr="00D0206E">
        <w:rPr>
          <w:rFonts w:eastAsia="Times New Roman" w:cs="Times New Roman"/>
          <w:noProof/>
          <w:color w:val="000000"/>
          <w:sz w:val="22"/>
        </w:rPr>
        <w:t>Nosetip Ablation Sensor and Telemetry Interface Unit for Hypersonic Vehicle Thermal Protection Systems</w:t>
      </w:r>
    </w:p>
    <w:p w14:paraId="3C664F41" w14:textId="77777777" w:rsidR="00C9232E" w:rsidRPr="00D0206E" w:rsidRDefault="00C9232E" w:rsidP="00C9232E">
      <w:pPr>
        <w:rPr>
          <w:rFonts w:eastAsia="Times New Roman" w:cs="Times New Roman"/>
          <w:color w:val="000000"/>
          <w:sz w:val="22"/>
        </w:rPr>
      </w:pPr>
    </w:p>
    <w:p w14:paraId="3BFB4A6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326135F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 Sensors, Weapons</w:t>
      </w:r>
    </w:p>
    <w:p w14:paraId="565F3C0F" w14:textId="77777777" w:rsidR="00C9232E" w:rsidRPr="00D0206E" w:rsidRDefault="00C9232E" w:rsidP="00C9232E">
      <w:pPr>
        <w:rPr>
          <w:rFonts w:eastAsia="Times New Roman" w:cs="Times New Roman"/>
          <w:color w:val="000000"/>
          <w:sz w:val="22"/>
        </w:rPr>
      </w:pPr>
    </w:p>
    <w:p w14:paraId="1E8FFFA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54FEC09" w14:textId="77777777" w:rsidR="00C9232E" w:rsidRPr="00D0206E" w:rsidRDefault="00C9232E" w:rsidP="00C9232E">
      <w:pPr>
        <w:rPr>
          <w:rFonts w:eastAsia="Times New Roman" w:cs="Times New Roman"/>
          <w:color w:val="000000"/>
          <w:sz w:val="22"/>
        </w:rPr>
      </w:pPr>
    </w:p>
    <w:p w14:paraId="361ECF7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 ablation rate sensor array and telemetry interface unit for fielding on Navy experimental hypersonic flight vehicles equipped with Extended Navy Test Bed (ENTB), or similar, telemetry units.</w:t>
      </w:r>
    </w:p>
    <w:p w14:paraId="570ACD6B" w14:textId="77777777" w:rsidR="00C9232E" w:rsidRPr="00D0206E" w:rsidRDefault="00C9232E" w:rsidP="00C9232E">
      <w:pPr>
        <w:rPr>
          <w:rFonts w:eastAsia="Times New Roman" w:cs="Times New Roman"/>
          <w:color w:val="000000"/>
          <w:sz w:val="22"/>
        </w:rPr>
      </w:pPr>
    </w:p>
    <w:p w14:paraId="547767FF"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 Navy performs many Submarine Launched Ballistic Missile (SLBM) flight tests. Some of these Navy SLBM test vehicles fly with an ENTB telemetry unit. The ENTB takes sensor outputs from on-board devices and transmits them to a ground station. The opportunity presented by this topic is to develop an ablation rate sensor technology for carbon/carbon nosetips, to package the sensor technology suitable for the Navy nosetip application, and to provide an electronic interface unit so as to pass the ablation rate data to an on-board telemetry unit such as an ENTB.</w:t>
      </w:r>
    </w:p>
    <w:p w14:paraId="03DD9195" w14:textId="77777777" w:rsidR="00C9232E" w:rsidRPr="00D0206E" w:rsidRDefault="00C9232E" w:rsidP="00C9232E">
      <w:pPr>
        <w:rPr>
          <w:rFonts w:eastAsia="Times New Roman" w:cs="Times New Roman"/>
          <w:noProof/>
          <w:color w:val="000000"/>
          <w:sz w:val="22"/>
        </w:rPr>
      </w:pPr>
    </w:p>
    <w:p w14:paraId="6626C2D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ablation sensor array and interface unit electronics must be compatible with all Navy SLBM flight test requirements (size, weight, mass props, environment, shock/vibe, radiation, etc.). These requirements, as well as information for integration with the ENTB and any information necessary to demonstrate proof-of-concept, will be provided by the Navy to Phase I awardees at the time of award. </w:t>
      </w:r>
    </w:p>
    <w:p w14:paraId="780D9768" w14:textId="77777777" w:rsidR="00C9232E" w:rsidRPr="00D0206E" w:rsidRDefault="00C9232E" w:rsidP="00C9232E">
      <w:pPr>
        <w:rPr>
          <w:rFonts w:eastAsia="Times New Roman" w:cs="Times New Roman"/>
          <w:noProof/>
          <w:color w:val="000000"/>
          <w:sz w:val="22"/>
        </w:rPr>
      </w:pPr>
    </w:p>
    <w:p w14:paraId="3C7660C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A non-intrusive ablation rate sensor technology is preferred over intrusive methods and should be able to resolve length changes to less than 0.01” (target) and 0.025” (threshold). As a non-intrusive method, ultrasonics have shown the ability to detect defects in carbon/carbon composites [Ref 4] and may be suitable for detecting length changes by use of front-face reflection. In the past an ultrasonic method has been used to measure length change of Tungsten nosetips due resonant frequency changes, as well as a bremstahlung radioactive gauge technique [Ref 5]. There has also been some recent work on a focused ultrasonic technique to measure surface loss [Ref 6]. However, proposals based on other non-intrusive methods are welcome.  </w:t>
      </w:r>
    </w:p>
    <w:p w14:paraId="246C613B" w14:textId="77777777" w:rsidR="00C9232E" w:rsidRPr="00D0206E" w:rsidRDefault="00C9232E" w:rsidP="00C9232E">
      <w:pPr>
        <w:rPr>
          <w:rFonts w:eastAsia="Times New Roman" w:cs="Times New Roman"/>
          <w:noProof/>
          <w:color w:val="000000"/>
          <w:sz w:val="22"/>
        </w:rPr>
      </w:pPr>
    </w:p>
    <w:p w14:paraId="6CDAD638"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Intrusive methods could include embedded wires or fiber optics such as cited in [Ref 7], but proposal of an intrusive method must demonstrate applicability to a 3D carbon/carbon composite via a pre or post manufacturing technique. Pre-manufacture must demonstrate survivability through the carbon/carbon manufacturing process. Post manufacture must demonstrate no impact on component performance or survivability.   </w:t>
      </w:r>
    </w:p>
    <w:p w14:paraId="22590E9E" w14:textId="77777777" w:rsidR="00C9232E" w:rsidRPr="00D0206E" w:rsidRDefault="00C9232E" w:rsidP="00C9232E">
      <w:pPr>
        <w:rPr>
          <w:rFonts w:eastAsia="Times New Roman" w:cs="Times New Roman"/>
          <w:noProof/>
          <w:color w:val="000000"/>
          <w:sz w:val="22"/>
        </w:rPr>
      </w:pPr>
    </w:p>
    <w:p w14:paraId="4D92890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back face of ablating components, where it is assumed sensors will be located, will experience some short-term elevated temperature conditions. Sensors must have some degree of elevated temperature survivability.</w:t>
      </w:r>
    </w:p>
    <w:p w14:paraId="099EE1C1" w14:textId="77777777" w:rsidR="00C9232E" w:rsidRPr="00D0206E" w:rsidRDefault="00C9232E" w:rsidP="00C9232E">
      <w:pPr>
        <w:rPr>
          <w:rFonts w:eastAsia="Times New Roman" w:cs="Times New Roman"/>
          <w:noProof/>
          <w:color w:val="000000"/>
          <w:sz w:val="22"/>
        </w:rPr>
      </w:pPr>
    </w:p>
    <w:p w14:paraId="2F475C4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Bulk graphite and mechanical ablation are acceptable as a means of demonstrating sensor technology during Phase I. The Navy has a limited amount of non-tactical carbon/carbon material that may be provided to the successful Phase II proposer(s). Suppliers proposing intrusive, pre-manufacture methods should provide their own materials and must demonstrate survivability through the extreme elevated temperature and highly reactive carbon/carbon process environment.</w:t>
      </w:r>
    </w:p>
    <w:p w14:paraId="5FAC5F0B" w14:textId="77777777" w:rsidR="00C9232E" w:rsidRPr="00D0206E" w:rsidRDefault="00C9232E" w:rsidP="00C9232E">
      <w:pPr>
        <w:rPr>
          <w:rFonts w:eastAsia="Times New Roman" w:cs="Times New Roman"/>
          <w:color w:val="000000"/>
          <w:sz w:val="22"/>
        </w:rPr>
      </w:pPr>
    </w:p>
    <w:p w14:paraId="72C712D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Identify ablation sensor technology and demonstrate bread-board ability to resolve length change on representative material within 0.025 (threshold) and 0.01” (target).  Develop architectures and schematics for the interface unit of a sensor array to the ENTB. Prepare a Phase II plan.</w:t>
      </w:r>
    </w:p>
    <w:p w14:paraId="5A2BC1BD" w14:textId="77777777" w:rsidR="00C9232E" w:rsidRPr="00D0206E" w:rsidRDefault="00C9232E" w:rsidP="00C9232E">
      <w:pPr>
        <w:rPr>
          <w:rFonts w:eastAsia="Times New Roman" w:cs="Times New Roman"/>
          <w:color w:val="000000"/>
          <w:sz w:val="22"/>
        </w:rPr>
      </w:pPr>
    </w:p>
    <w:p w14:paraId="5BB4497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Based on requirements provided by the Navy, develop a prototype unit suitable for proof of concept demonstration under Navy-funded extreme ground test environment (arc jet test for ablation rate) with Navy-supplied carbon/carbon ablative test materials. Ensure that the electronic devices used on prototype unit are suitable for the Navy flight test environment.</w:t>
      </w:r>
    </w:p>
    <w:p w14:paraId="2E74852C" w14:textId="77777777" w:rsidR="00C9232E" w:rsidRPr="00D0206E" w:rsidRDefault="00C9232E" w:rsidP="00C9232E">
      <w:pPr>
        <w:rPr>
          <w:rFonts w:eastAsia="Times New Roman" w:cs="Times New Roman"/>
          <w:color w:val="000000"/>
          <w:sz w:val="22"/>
        </w:rPr>
      </w:pPr>
    </w:p>
    <w:p w14:paraId="4725C26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Develop and produce flight test units for fielding on Navy experimental flight tests. This ablation sensing technology will be applicable on reusable commercial rocket components such as carbon/carbon throats and/or nozzles.</w:t>
      </w:r>
    </w:p>
    <w:p w14:paraId="0E9EAB1A" w14:textId="77777777" w:rsidR="00C9232E" w:rsidRPr="00D0206E" w:rsidRDefault="00C9232E" w:rsidP="00C9232E">
      <w:pPr>
        <w:rPr>
          <w:rFonts w:eastAsia="Times New Roman" w:cs="Times New Roman"/>
          <w:color w:val="000000"/>
          <w:sz w:val="22"/>
        </w:rPr>
      </w:pPr>
    </w:p>
    <w:p w14:paraId="7816D03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E3E0082" w14:textId="7B0254D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Navy Conventional Prompt Strike. </w:t>
      </w:r>
      <w:hyperlink r:id="rId182" w:history="1">
        <w:r w:rsidR="00C25BB1" w:rsidRPr="007743A7">
          <w:rPr>
            <w:rStyle w:val="Hyperlink"/>
            <w:rFonts w:eastAsia="Times New Roman" w:cs="Times New Roman"/>
            <w:noProof/>
            <w:sz w:val="22"/>
          </w:rPr>
          <w:t>https://news.usni/2018/11/21/navy-developing-prompt-global-strike-weapon-launch-sub-surface-ship</w:t>
        </w:r>
      </w:hyperlink>
      <w:r w:rsidR="00C25BB1">
        <w:rPr>
          <w:rFonts w:eastAsia="Times New Roman" w:cs="Times New Roman"/>
          <w:noProof/>
          <w:color w:val="000000"/>
          <w:sz w:val="22"/>
        </w:rPr>
        <w:t xml:space="preserve"> </w:t>
      </w:r>
    </w:p>
    <w:p w14:paraId="25771DCE" w14:textId="77777777" w:rsidR="006A49EF" w:rsidRDefault="006A49EF" w:rsidP="00C9232E">
      <w:pPr>
        <w:rPr>
          <w:rFonts w:eastAsia="Times New Roman" w:cs="Times New Roman"/>
          <w:noProof/>
          <w:color w:val="000000"/>
          <w:sz w:val="22"/>
        </w:rPr>
      </w:pPr>
    </w:p>
    <w:p w14:paraId="4BA635E5" w14:textId="1601D84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Navy Strategic Systems. </w:t>
      </w:r>
      <w:hyperlink r:id="rId183" w:history="1">
        <w:r w:rsidR="00C25BB1" w:rsidRPr="007743A7">
          <w:rPr>
            <w:rStyle w:val="Hyperlink"/>
            <w:rFonts w:eastAsia="Times New Roman" w:cs="Times New Roman"/>
            <w:noProof/>
            <w:sz w:val="22"/>
          </w:rPr>
          <w:t>https://www.ssp.navy.mil</w:t>
        </w:r>
      </w:hyperlink>
      <w:r w:rsidR="00C25BB1">
        <w:rPr>
          <w:rFonts w:eastAsia="Times New Roman" w:cs="Times New Roman"/>
          <w:noProof/>
          <w:color w:val="000000"/>
          <w:sz w:val="22"/>
        </w:rPr>
        <w:t xml:space="preserve"> </w:t>
      </w:r>
    </w:p>
    <w:p w14:paraId="703F9574" w14:textId="77777777" w:rsidR="006A49EF" w:rsidRDefault="006A49EF" w:rsidP="00C9232E">
      <w:pPr>
        <w:rPr>
          <w:rFonts w:eastAsia="Times New Roman" w:cs="Times New Roman"/>
          <w:noProof/>
          <w:color w:val="000000"/>
          <w:sz w:val="22"/>
        </w:rPr>
      </w:pPr>
    </w:p>
    <w:p w14:paraId="36435137" w14:textId="14DEDAE7" w:rsidR="006A49EF"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ENTB. </w:t>
      </w:r>
      <w:hyperlink r:id="rId184" w:history="1">
        <w:r w:rsidR="00C25BB1" w:rsidRPr="007743A7">
          <w:rPr>
            <w:rStyle w:val="Hyperlink"/>
            <w:rFonts w:eastAsia="Times New Roman" w:cs="Times New Roman"/>
            <w:noProof/>
            <w:sz w:val="22"/>
          </w:rPr>
          <w:t>https://www.defenseindustrydaily.com/243M-to-Draper-Laboratory-for-Trident-II-D5-Guidance-System-Support-06004/</w:t>
        </w:r>
      </w:hyperlink>
      <w:r w:rsidR="00C25BB1">
        <w:rPr>
          <w:rFonts w:eastAsia="Times New Roman" w:cs="Times New Roman"/>
          <w:noProof/>
          <w:color w:val="000000"/>
          <w:sz w:val="22"/>
        </w:rPr>
        <w:t xml:space="preserve"> </w:t>
      </w:r>
    </w:p>
    <w:p w14:paraId="424DF68E" w14:textId="77777777" w:rsidR="006A49EF" w:rsidRDefault="006A49EF" w:rsidP="00C9232E">
      <w:pPr>
        <w:rPr>
          <w:rFonts w:eastAsia="Times New Roman" w:cs="Times New Roman"/>
          <w:noProof/>
          <w:color w:val="000000"/>
          <w:sz w:val="22"/>
        </w:rPr>
      </w:pPr>
    </w:p>
    <w:p w14:paraId="426E74A6" w14:textId="35D9C85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Poudel, A., Strycek, J. and Chu, T.  "Air-Coupled Ultrasonic Testing of Carbon/Carbon Composite Aircraft Brake Disks." Materials Evaluation, 71, pp. 987-994, 2013. </w:t>
      </w:r>
      <w:hyperlink r:id="rId185" w:history="1">
        <w:r w:rsidR="00C25BB1" w:rsidRPr="007743A7">
          <w:rPr>
            <w:rStyle w:val="Hyperlink"/>
            <w:rFonts w:eastAsia="Times New Roman" w:cs="Times New Roman"/>
            <w:noProof/>
            <w:sz w:val="22"/>
          </w:rPr>
          <w:t>https://www.researchgate.net/publication/262639867_A_Circular_Air-Coupled_Ultrasonic_Testing_Technique_for_the_Inspection_of_Commercial_CarbonCarbon_Composite_Aircraft_Brake_Disks</w:t>
        </w:r>
      </w:hyperlink>
      <w:r w:rsidR="00C25BB1">
        <w:rPr>
          <w:rFonts w:eastAsia="Times New Roman" w:cs="Times New Roman"/>
          <w:noProof/>
          <w:color w:val="000000"/>
          <w:sz w:val="22"/>
        </w:rPr>
        <w:t xml:space="preserve"> </w:t>
      </w:r>
    </w:p>
    <w:p w14:paraId="0F5B225F" w14:textId="77777777" w:rsidR="006A49EF" w:rsidRDefault="006A49EF" w:rsidP="00C9232E">
      <w:pPr>
        <w:rPr>
          <w:rFonts w:eastAsia="Times New Roman" w:cs="Times New Roman"/>
          <w:noProof/>
          <w:color w:val="000000"/>
          <w:sz w:val="22"/>
        </w:rPr>
      </w:pPr>
    </w:p>
    <w:p w14:paraId="2BD4B5C7" w14:textId="2010103E" w:rsidR="006A49EF"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Sherman, M.M. “Erosion Resistant Nosetip Technology.” PDA Inc. Santa Ana, CA:  PDA Technical Report, PDA-TR-1031-90-58, January 1978. </w:t>
      </w:r>
      <w:hyperlink r:id="rId186" w:history="1">
        <w:r w:rsidR="00C25BB1" w:rsidRPr="007743A7">
          <w:rPr>
            <w:rStyle w:val="Hyperlink"/>
            <w:rFonts w:eastAsia="Times New Roman" w:cs="Times New Roman"/>
            <w:noProof/>
            <w:sz w:val="22"/>
          </w:rPr>
          <w:t>https://www.researchgate.net/publication/235198410_Hardened_Reentry_Vehicle_Development_Program_Erosion-Resistant_Nosetip_Technology</w:t>
        </w:r>
      </w:hyperlink>
      <w:r w:rsidR="00C25BB1">
        <w:rPr>
          <w:rFonts w:eastAsia="Times New Roman" w:cs="Times New Roman"/>
          <w:noProof/>
          <w:color w:val="000000"/>
          <w:sz w:val="22"/>
        </w:rPr>
        <w:t xml:space="preserve"> </w:t>
      </w:r>
    </w:p>
    <w:p w14:paraId="37E59B19" w14:textId="77777777" w:rsidR="006A49EF" w:rsidRDefault="006A49EF" w:rsidP="00C9232E">
      <w:pPr>
        <w:rPr>
          <w:rFonts w:eastAsia="Times New Roman" w:cs="Times New Roman"/>
          <w:noProof/>
          <w:color w:val="000000"/>
          <w:sz w:val="22"/>
        </w:rPr>
      </w:pPr>
    </w:p>
    <w:p w14:paraId="227DD1B5" w14:textId="7E128EC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6. Papadopoulos, G., Tikiakos, N. and Thomson, C. “Real-Time Ablation Recession Rate Sensor System for Advanced Reentry Vehicles.” , 50th AIAA Aerospace Sciences Mtg, Nashville, TN, Jan 2012.</w:t>
      </w:r>
      <w:r w:rsidR="00C25BB1">
        <w:rPr>
          <w:rFonts w:eastAsia="Times New Roman" w:cs="Times New Roman"/>
          <w:noProof/>
          <w:color w:val="000000"/>
          <w:sz w:val="22"/>
        </w:rPr>
        <w:t xml:space="preserve"> </w:t>
      </w:r>
    </w:p>
    <w:p w14:paraId="6EF014B8" w14:textId="77777777" w:rsidR="006A49EF" w:rsidRDefault="006A49EF" w:rsidP="00C9232E">
      <w:pPr>
        <w:rPr>
          <w:rFonts w:eastAsia="Times New Roman" w:cs="Times New Roman"/>
          <w:noProof/>
          <w:color w:val="000000"/>
          <w:sz w:val="22"/>
        </w:rPr>
      </w:pPr>
    </w:p>
    <w:p w14:paraId="4FE2D895" w14:textId="1BFE190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7. Koo, J.,Natali, M., Lisco, B. et al, “A Versatile In-Situ Ablation Recession and Thermal Sensor Adapable for Different Types of Ablatives.” 56th AIAA SciTech Forum, Kissiminee, FL, 2015. </w:t>
      </w:r>
      <w:hyperlink r:id="rId187" w:history="1">
        <w:r w:rsidR="00C25BB1" w:rsidRPr="007743A7">
          <w:rPr>
            <w:rStyle w:val="Hyperlink"/>
            <w:rFonts w:eastAsia="Times New Roman" w:cs="Times New Roman"/>
            <w:noProof/>
            <w:sz w:val="22"/>
          </w:rPr>
          <w:t>https://arc.aiaa.org/doi/abs/10.2514/6.2015-1122</w:t>
        </w:r>
      </w:hyperlink>
      <w:r w:rsidR="00C25BB1">
        <w:rPr>
          <w:rFonts w:eastAsia="Times New Roman" w:cs="Times New Roman"/>
          <w:noProof/>
          <w:color w:val="000000"/>
          <w:sz w:val="22"/>
        </w:rPr>
        <w:t xml:space="preserve"> </w:t>
      </w:r>
    </w:p>
    <w:p w14:paraId="4C9B9F13" w14:textId="77777777" w:rsidR="00C9232E" w:rsidRPr="00D0206E" w:rsidRDefault="00C9232E" w:rsidP="00C9232E">
      <w:pPr>
        <w:rPr>
          <w:rFonts w:eastAsia="Times New Roman" w:cs="Times New Roman"/>
          <w:color w:val="000000"/>
          <w:sz w:val="22"/>
        </w:rPr>
      </w:pPr>
    </w:p>
    <w:p w14:paraId="093278A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Carbon/carbon, Thermal Protection System, Ultrasonic Sensors, Ablation Rate, Hypersonic, Reentry</w:t>
      </w:r>
    </w:p>
    <w:p w14:paraId="704BE6A6" w14:textId="77777777" w:rsidR="00C9232E" w:rsidRPr="00D0206E" w:rsidRDefault="00C9232E" w:rsidP="00C9232E">
      <w:pPr>
        <w:rPr>
          <w:rFonts w:eastAsia="Times New Roman" w:cs="Times New Roman"/>
          <w:color w:val="000000"/>
          <w:sz w:val="22"/>
        </w:rPr>
      </w:pPr>
    </w:p>
    <w:p w14:paraId="69CCCFFE" w14:textId="77777777" w:rsidR="00C9232E" w:rsidRPr="00D0206E" w:rsidRDefault="00C9232E" w:rsidP="00C9232E">
      <w:pPr>
        <w:tabs>
          <w:tab w:val="left" w:pos="1260"/>
        </w:tabs>
        <w:ind w:left="270"/>
        <w:rPr>
          <w:rFonts w:eastAsia="Times New Roman" w:cs="Times New Roman"/>
          <w:color w:val="000000"/>
          <w:sz w:val="22"/>
        </w:rPr>
      </w:pPr>
    </w:p>
    <w:p w14:paraId="71542307" w14:textId="77777777" w:rsidR="00C9232E" w:rsidRPr="00D0206E" w:rsidRDefault="00C9232E" w:rsidP="00C9232E">
      <w:pPr>
        <w:tabs>
          <w:tab w:val="left" w:pos="1260"/>
        </w:tabs>
        <w:ind w:left="270"/>
        <w:rPr>
          <w:rFonts w:eastAsia="Times New Roman" w:cs="Times New Roman"/>
          <w:color w:val="000000"/>
          <w:sz w:val="22"/>
        </w:rPr>
      </w:pPr>
    </w:p>
    <w:p w14:paraId="61BF9E6A"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0F2D2AAB"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N202-130</w:t>
      </w:r>
      <w:r w:rsidRPr="00D0206E">
        <w:rPr>
          <w:rFonts w:eastAsia="Times New Roman" w:cs="Times New Roman"/>
          <w:color w:val="000000"/>
          <w:sz w:val="22"/>
        </w:rPr>
        <w:tab/>
        <w:t xml:space="preserve">TITLE: </w:t>
      </w:r>
      <w:r w:rsidRPr="00D0206E">
        <w:rPr>
          <w:rFonts w:eastAsia="Times New Roman" w:cs="Times New Roman"/>
          <w:noProof/>
          <w:color w:val="000000"/>
          <w:sz w:val="22"/>
        </w:rPr>
        <w:t>Cold-water Diving Wetsuit</w:t>
      </w:r>
    </w:p>
    <w:p w14:paraId="52CA93A6" w14:textId="77777777" w:rsidR="00C9232E" w:rsidRPr="00D0206E" w:rsidRDefault="00C9232E" w:rsidP="00C9232E">
      <w:pPr>
        <w:rPr>
          <w:rFonts w:eastAsia="Times New Roman" w:cs="Times New Roman"/>
          <w:color w:val="000000"/>
          <w:sz w:val="22"/>
        </w:rPr>
      </w:pPr>
    </w:p>
    <w:p w14:paraId="408F239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4E5635D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 Bio Medical</w:t>
      </w:r>
    </w:p>
    <w:p w14:paraId="5C5C8A51" w14:textId="77777777" w:rsidR="00C9232E" w:rsidRPr="00D0206E" w:rsidRDefault="00C9232E" w:rsidP="00C9232E">
      <w:pPr>
        <w:rPr>
          <w:rFonts w:eastAsia="Times New Roman" w:cs="Times New Roman"/>
          <w:color w:val="000000"/>
          <w:sz w:val="22"/>
        </w:rPr>
      </w:pPr>
    </w:p>
    <w:p w14:paraId="6533200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and demonstrate an insulated wetsuit for cold-water (35 °F) diving, capable of maintaining 75% of its surface insulation rating to 100 foot depth. Surface insulation rating equivalent to 2 air gaps is sought using new approaches, possibly sealed multiple layers and minimized flushing of ambient water in the wetsuit.</w:t>
      </w:r>
    </w:p>
    <w:p w14:paraId="75600414" w14:textId="77777777" w:rsidR="00C9232E" w:rsidRPr="00D0206E" w:rsidRDefault="00C9232E" w:rsidP="00C9232E">
      <w:pPr>
        <w:rPr>
          <w:rFonts w:eastAsia="Times New Roman" w:cs="Times New Roman"/>
          <w:color w:val="000000"/>
          <w:sz w:val="22"/>
        </w:rPr>
      </w:pPr>
    </w:p>
    <w:p w14:paraId="7F89702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Most Special Operations Forces (SOF) diver training and operations is still done in wetsuits. For cold-water operations, and with basically all wetsuits being neoprene, hypothermia is a serious risk. Neoprene wetsuits provide very limited time at the surface and provide roughly 1/4 the insulation at 100 feet depth. A new wetsuit construction is desired, one that has R ratings in the single digits, comparable to a double air-gap of roughly R3-5. An innovative multi-layer approach (e.g., drop-stitch, additive manufacturing, multiple coveralls, outer fur) is sought that maintains a smaller gap or has stop-gap materials, which minimize thermal bridging, such that the R-value at 100-foot depth is 75% of the value at the surface. Innovative solutions to minimize flushing inside the wetsuit with cold ambient water will be most important. Mobility, and don and doff times should be comparable or better to those of current wetsuits. Solutions should not focus on gases composition within the gap, other than air, for ease of usage, maintenance, and repair.</w:t>
      </w:r>
    </w:p>
    <w:p w14:paraId="56A11A08" w14:textId="77777777" w:rsidR="00C9232E" w:rsidRPr="00D0206E" w:rsidRDefault="00C9232E" w:rsidP="00C9232E">
      <w:pPr>
        <w:rPr>
          <w:rFonts w:eastAsia="Times New Roman" w:cs="Times New Roman"/>
          <w:color w:val="000000"/>
          <w:sz w:val="22"/>
        </w:rPr>
      </w:pPr>
    </w:p>
    <w:p w14:paraId="7D707AD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Define and develop a design for a cold-water (35 °F) wetsuit and analyze and specify the anticipated insulation value (R-value), where it arises from and how it improves on current COTS wetsuits. Prepare designs that are sufficiently detailed to specify all materials needed, their availability, how they will be implemented, and the overall wetsuit thickness. Specify how the design  reduces flushing of external/ambient water through the wetsuit. The wetsuit material, its seams (both intergarment and at wrists, neck and feet),and any closing mechanisms must stand up to typical special operations underwater diver activities and approximately 100 dives. The design created in Phase I should lead to plans to build a prototype unit in Phase II.</w:t>
      </w:r>
    </w:p>
    <w:p w14:paraId="5F25BDC8" w14:textId="77777777" w:rsidR="00C9232E" w:rsidRPr="00D0206E" w:rsidRDefault="00C9232E" w:rsidP="00C9232E">
      <w:pPr>
        <w:rPr>
          <w:rFonts w:eastAsia="Times New Roman" w:cs="Times New Roman"/>
          <w:color w:val="000000"/>
          <w:sz w:val="22"/>
        </w:rPr>
      </w:pPr>
    </w:p>
    <w:p w14:paraId="45EE91A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fabricate, lab-test (R-value and chiller-tank performance), and provide two suits for form, fit, and function evaluation by operational Navy divers in cold-water maritime environments. Within the period of performance, revise the design and refabricate an additional 10 units based on feedback.</w:t>
      </w:r>
    </w:p>
    <w:p w14:paraId="6C576287" w14:textId="77777777" w:rsidR="00C9232E" w:rsidRPr="00D0206E" w:rsidRDefault="00C9232E" w:rsidP="00C9232E">
      <w:pPr>
        <w:rPr>
          <w:rFonts w:eastAsia="Times New Roman" w:cs="Times New Roman"/>
          <w:color w:val="000000"/>
          <w:sz w:val="22"/>
        </w:rPr>
      </w:pPr>
    </w:p>
    <w:p w14:paraId="6F6BB63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Assist the Navy in transitioning the technology to operational use by Naval Special Warfare, support the Navy for test, validation, and qualification of the system for use by Navy divers, and develop commercial variants suitable for recreational divers and use in the gas-oil industry or research community.  Create a marketing plan for reaching recreational users and mass production, to bring the per unit cost down to under five hundred dollars.</w:t>
      </w:r>
    </w:p>
    <w:p w14:paraId="123A992D" w14:textId="77777777" w:rsidR="00C9232E" w:rsidRPr="00D0206E" w:rsidRDefault="00C9232E" w:rsidP="00C9232E">
      <w:pPr>
        <w:rPr>
          <w:rFonts w:eastAsia="Times New Roman" w:cs="Times New Roman"/>
          <w:color w:val="000000"/>
          <w:sz w:val="22"/>
        </w:rPr>
      </w:pPr>
    </w:p>
    <w:p w14:paraId="6D131F8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1AE33A6" w14:textId="7252A03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Beckman, F. L. “Thermal Protection During Immersion in Cold Water.” Proceedings of the Second Symposium on Underwater Physiology, No. 1181, National Academy of Sciences, -National Research Council, Washington, D. C., 1963, pp. 247-266. </w:t>
      </w:r>
      <w:hyperlink r:id="rId188" w:history="1">
        <w:r w:rsidR="00C25BB1" w:rsidRPr="007743A7">
          <w:rPr>
            <w:rStyle w:val="Hyperlink"/>
            <w:rFonts w:eastAsia="Times New Roman" w:cs="Times New Roman"/>
            <w:noProof/>
            <w:sz w:val="22"/>
          </w:rPr>
          <w:t>https://www.amazon.com/THERMAL-PROTECTION-DURING-IMMERSION-WATER/dp/B00A1019DG</w:t>
        </w:r>
      </w:hyperlink>
      <w:r w:rsidR="00C25BB1">
        <w:rPr>
          <w:rFonts w:eastAsia="Times New Roman" w:cs="Times New Roman"/>
          <w:noProof/>
          <w:color w:val="000000"/>
          <w:sz w:val="22"/>
        </w:rPr>
        <w:t xml:space="preserve"> </w:t>
      </w:r>
    </w:p>
    <w:p w14:paraId="436BDE7C" w14:textId="77777777" w:rsidR="006A49EF" w:rsidRDefault="006A49EF" w:rsidP="00C9232E">
      <w:pPr>
        <w:rPr>
          <w:rFonts w:eastAsia="Times New Roman" w:cs="Times New Roman"/>
          <w:noProof/>
          <w:color w:val="000000"/>
          <w:sz w:val="22"/>
        </w:rPr>
      </w:pPr>
    </w:p>
    <w:p w14:paraId="63002F75" w14:textId="516AE281"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Piantadosi, C. A., Ball, D. J., Nuckols, M. L. and Thalmann, E. D. "Manned Evaluation of the NCSC Diver Thermal Protection (DTP) Passive System Prototype." US Naval Experimental Diving Unit </w:t>
      </w:r>
      <w:r w:rsidRPr="00D0206E">
        <w:rPr>
          <w:rFonts w:eastAsia="Times New Roman" w:cs="Times New Roman"/>
          <w:noProof/>
          <w:color w:val="000000"/>
          <w:sz w:val="22"/>
        </w:rPr>
        <w:lastRenderedPageBreak/>
        <w:t xml:space="preserve">Technical Report (NEDU-13-79), 1979. </w:t>
      </w:r>
      <w:hyperlink r:id="rId189" w:history="1">
        <w:r w:rsidR="00C25BB1" w:rsidRPr="007743A7">
          <w:rPr>
            <w:rStyle w:val="Hyperlink"/>
            <w:rFonts w:eastAsia="Times New Roman" w:cs="Times New Roman"/>
            <w:noProof/>
            <w:sz w:val="22"/>
          </w:rPr>
          <w:t>http://archive.rubicon-foundation.org/xmlui/bitstream/handle/123456789/3356/NEDU_1979_13.pdf?sequence=1</w:t>
        </w:r>
      </w:hyperlink>
      <w:r w:rsidR="00C25BB1">
        <w:rPr>
          <w:rFonts w:eastAsia="Times New Roman" w:cs="Times New Roman"/>
          <w:noProof/>
          <w:color w:val="000000"/>
          <w:sz w:val="22"/>
        </w:rPr>
        <w:t xml:space="preserve"> </w:t>
      </w:r>
    </w:p>
    <w:p w14:paraId="531DCA4D" w14:textId="77777777" w:rsidR="006A49EF" w:rsidRDefault="006A49EF" w:rsidP="00C9232E">
      <w:pPr>
        <w:rPr>
          <w:rFonts w:eastAsia="Times New Roman" w:cs="Times New Roman"/>
          <w:noProof/>
          <w:color w:val="000000"/>
          <w:sz w:val="22"/>
        </w:rPr>
      </w:pPr>
    </w:p>
    <w:p w14:paraId="0AA3D2B1" w14:textId="68531518" w:rsidR="006A49EF"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Bardi, Jason S. "How Does Fur Keep Animals Warm in Cold Water?" American Physical Society, College Park, MD, November 23, 2015. </w:t>
      </w:r>
      <w:hyperlink r:id="rId190" w:history="1">
        <w:r w:rsidR="00C25BB1" w:rsidRPr="007743A7">
          <w:rPr>
            <w:rStyle w:val="Hyperlink"/>
            <w:rFonts w:eastAsia="Times New Roman" w:cs="Times New Roman"/>
            <w:noProof/>
            <w:sz w:val="22"/>
          </w:rPr>
          <w:t>https://www.aps.org/units/dfd/pressroom/news/2015/upload/7pr-animals2015.pdf</w:t>
        </w:r>
      </w:hyperlink>
      <w:r w:rsidR="00C25BB1">
        <w:rPr>
          <w:rFonts w:eastAsia="Times New Roman" w:cs="Times New Roman"/>
          <w:noProof/>
          <w:color w:val="000000"/>
          <w:sz w:val="22"/>
        </w:rPr>
        <w:t xml:space="preserve"> </w:t>
      </w:r>
    </w:p>
    <w:p w14:paraId="75960779" w14:textId="77777777" w:rsidR="006A49EF" w:rsidRDefault="006A49EF" w:rsidP="00C9232E">
      <w:pPr>
        <w:rPr>
          <w:rFonts w:eastAsia="Times New Roman" w:cs="Times New Roman"/>
          <w:noProof/>
          <w:color w:val="000000"/>
          <w:sz w:val="22"/>
        </w:rPr>
      </w:pPr>
    </w:p>
    <w:p w14:paraId="192998A3" w14:textId="52F4D24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Vrijdag, Xavier et al. “Argon used as dry suit insulation gas for cold-water diving.” Extreme Physiology &amp; Medicine, 2:17, 2013. </w:t>
      </w:r>
      <w:hyperlink r:id="rId191" w:history="1">
        <w:r w:rsidR="00C25BB1" w:rsidRPr="007743A7">
          <w:rPr>
            <w:rStyle w:val="Hyperlink"/>
            <w:rFonts w:eastAsia="Times New Roman" w:cs="Times New Roman"/>
            <w:noProof/>
            <w:sz w:val="22"/>
          </w:rPr>
          <w:t>http://www.extremephysiolmed.com/content/2/1/17s</w:t>
        </w:r>
      </w:hyperlink>
      <w:r w:rsidR="00C25BB1">
        <w:rPr>
          <w:rFonts w:eastAsia="Times New Roman" w:cs="Times New Roman"/>
          <w:noProof/>
          <w:color w:val="000000"/>
          <w:sz w:val="22"/>
        </w:rPr>
        <w:t xml:space="preserve"> </w:t>
      </w:r>
    </w:p>
    <w:p w14:paraId="26188773" w14:textId="77777777" w:rsidR="006A49EF" w:rsidRDefault="006A49EF" w:rsidP="00C9232E">
      <w:pPr>
        <w:rPr>
          <w:rFonts w:eastAsia="Times New Roman" w:cs="Times New Roman"/>
          <w:noProof/>
          <w:color w:val="000000"/>
          <w:sz w:val="22"/>
        </w:rPr>
      </w:pPr>
    </w:p>
    <w:p w14:paraId="6BD165BA" w14:textId="1BCA938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Bardy, Erik et al. "A comparison of the thermal resistance of a foam neoprene wetsuit to a wetsuit fabricated from aerogel-syntactic foam hybrid insulation." J. Phys. D: Appl. Phys., Vol. 39, Number 18, 1 September 2006, </w:t>
      </w:r>
      <w:hyperlink r:id="rId192" w:history="1">
        <w:r w:rsidR="00C25BB1" w:rsidRPr="007743A7">
          <w:rPr>
            <w:rStyle w:val="Hyperlink"/>
            <w:rFonts w:eastAsia="Times New Roman" w:cs="Times New Roman"/>
            <w:noProof/>
            <w:sz w:val="22"/>
          </w:rPr>
          <w:t>https://iopscience.iop.org/article/10.1088/0022-3727/39/18/018/meta</w:t>
        </w:r>
      </w:hyperlink>
      <w:r w:rsidR="00C25BB1">
        <w:rPr>
          <w:rFonts w:eastAsia="Times New Roman" w:cs="Times New Roman"/>
          <w:noProof/>
          <w:color w:val="000000"/>
          <w:sz w:val="22"/>
        </w:rPr>
        <w:t xml:space="preserve"> </w:t>
      </w:r>
    </w:p>
    <w:p w14:paraId="5B387978" w14:textId="77777777" w:rsidR="00C9232E" w:rsidRPr="00D0206E" w:rsidRDefault="00C9232E" w:rsidP="00C9232E">
      <w:pPr>
        <w:rPr>
          <w:rFonts w:eastAsia="Times New Roman" w:cs="Times New Roman"/>
          <w:color w:val="000000"/>
          <w:sz w:val="22"/>
        </w:rPr>
      </w:pPr>
    </w:p>
    <w:p w14:paraId="2098D5D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Diving, Wetsuit, Cold-water, Hypothermia, Insulation, Heat Loss</w:t>
      </w:r>
    </w:p>
    <w:p w14:paraId="224FC257" w14:textId="77777777" w:rsidR="00C9232E" w:rsidRPr="00D0206E" w:rsidRDefault="00C9232E" w:rsidP="00C9232E">
      <w:pPr>
        <w:rPr>
          <w:rFonts w:eastAsia="Times New Roman" w:cs="Times New Roman"/>
          <w:color w:val="000000"/>
          <w:sz w:val="22"/>
        </w:rPr>
      </w:pPr>
    </w:p>
    <w:p w14:paraId="3CBFB5D3" w14:textId="77777777" w:rsidR="00C9232E" w:rsidRPr="00D0206E" w:rsidRDefault="00C9232E" w:rsidP="00C9232E">
      <w:pPr>
        <w:tabs>
          <w:tab w:val="left" w:pos="1260"/>
        </w:tabs>
        <w:ind w:left="270"/>
        <w:rPr>
          <w:rFonts w:eastAsia="Times New Roman" w:cs="Times New Roman"/>
          <w:color w:val="000000"/>
          <w:sz w:val="22"/>
        </w:rPr>
      </w:pPr>
    </w:p>
    <w:p w14:paraId="21AF4482" w14:textId="77777777" w:rsidR="00C9232E" w:rsidRPr="00D0206E" w:rsidRDefault="00C9232E" w:rsidP="00C9232E">
      <w:pPr>
        <w:tabs>
          <w:tab w:val="left" w:pos="1260"/>
        </w:tabs>
        <w:ind w:left="270"/>
        <w:rPr>
          <w:rFonts w:eastAsia="Times New Roman" w:cs="Times New Roman"/>
          <w:color w:val="000000"/>
          <w:sz w:val="22"/>
        </w:rPr>
      </w:pPr>
    </w:p>
    <w:p w14:paraId="5BE3F56F" w14:textId="77777777" w:rsidR="00C9232E" w:rsidRPr="00D0206E" w:rsidRDefault="00C9232E" w:rsidP="00C9232E">
      <w:pPr>
        <w:tabs>
          <w:tab w:val="left" w:pos="1260"/>
        </w:tabs>
        <w:ind w:left="270"/>
        <w:rPr>
          <w:rFonts w:eastAsia="Times New Roman" w:cs="Times New Roman"/>
          <w:color w:val="000000"/>
          <w:sz w:val="22"/>
        </w:rPr>
      </w:pPr>
    </w:p>
    <w:p w14:paraId="534B84BB" w14:textId="77777777" w:rsidR="00C9232E" w:rsidRPr="00D0206E" w:rsidRDefault="00C9232E" w:rsidP="00C9232E">
      <w:pPr>
        <w:rPr>
          <w:rFonts w:eastAsia="Times New Roman" w:cs="Times New Roman"/>
          <w:color w:val="000000"/>
          <w:sz w:val="22"/>
        </w:rPr>
      </w:pPr>
    </w:p>
    <w:p w14:paraId="132FD8DF" w14:textId="77777777" w:rsidR="00C9232E" w:rsidRPr="00D0206E" w:rsidRDefault="00C9232E" w:rsidP="00C9232E">
      <w:pPr>
        <w:rPr>
          <w:rFonts w:eastAsia="Times New Roman" w:cs="Times New Roman"/>
          <w:color w:val="000000"/>
          <w:sz w:val="22"/>
        </w:rPr>
      </w:pPr>
    </w:p>
    <w:p w14:paraId="2D9F9BCF"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F2921E6"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N202-131</w:t>
      </w:r>
      <w:r w:rsidRPr="00D0206E">
        <w:rPr>
          <w:rFonts w:eastAsia="Times New Roman" w:cs="Times New Roman"/>
          <w:color w:val="000000"/>
          <w:sz w:val="22"/>
        </w:rPr>
        <w:tab/>
        <w:t xml:space="preserve">TITLE: </w:t>
      </w:r>
      <w:r w:rsidRPr="00D0206E">
        <w:rPr>
          <w:rFonts w:eastAsia="Times New Roman" w:cs="Times New Roman"/>
          <w:noProof/>
          <w:color w:val="000000"/>
          <w:sz w:val="22"/>
        </w:rPr>
        <w:t>Intelligent Laser System for CBM+ of Naval Platforms</w:t>
      </w:r>
    </w:p>
    <w:p w14:paraId="48065C41" w14:textId="77777777" w:rsidR="00C9232E" w:rsidRPr="00D0206E" w:rsidRDefault="00C9232E" w:rsidP="00C9232E">
      <w:pPr>
        <w:rPr>
          <w:rFonts w:eastAsia="Times New Roman" w:cs="Times New Roman"/>
          <w:color w:val="000000"/>
          <w:sz w:val="22"/>
        </w:rPr>
      </w:pPr>
    </w:p>
    <w:p w14:paraId="370E127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Microelectronics</w:t>
      </w:r>
    </w:p>
    <w:p w14:paraId="31E630F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Air Platform, Ground Sea, Materials</w:t>
      </w:r>
    </w:p>
    <w:p w14:paraId="66F0A115" w14:textId="77777777" w:rsidR="00C9232E" w:rsidRPr="00D0206E" w:rsidRDefault="00C9232E" w:rsidP="00C9232E">
      <w:pPr>
        <w:rPr>
          <w:rFonts w:eastAsia="Times New Roman" w:cs="Times New Roman"/>
          <w:color w:val="000000"/>
          <w:sz w:val="22"/>
        </w:rPr>
      </w:pPr>
    </w:p>
    <w:p w14:paraId="3860956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 intelligent laser-based system for powering, sensing, and communicating between a centralized health management unit and all the different nodes, sensors, and actuators of a platform-wide distributed fiber optic network for Condition Based Maintenance Plus (CBM+) of Naval platforms.</w:t>
      </w:r>
    </w:p>
    <w:p w14:paraId="6C510E33" w14:textId="77777777" w:rsidR="00C9232E" w:rsidRPr="00D0206E" w:rsidRDefault="00C9232E" w:rsidP="00C9232E">
      <w:pPr>
        <w:rPr>
          <w:rFonts w:eastAsia="Times New Roman" w:cs="Times New Roman"/>
          <w:color w:val="000000"/>
          <w:sz w:val="22"/>
        </w:rPr>
      </w:pPr>
    </w:p>
    <w:p w14:paraId="7C9A9CAE"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For predictive maintenance of Naval platforms (ships, aircraft, submarines, UXVs), the primary degradation modes (fatigue, micro-cracking, vibration, impact damage, delaminations, heat damage, etc.) of systems aboard platforms (Hull, Structural, Mechanical, Electrical, Propulsion, Drive, etc.) need to be detected, classified and monitored as early as possible within their life cycle (incubation, nucleation, coalescence, propagation, steady growth, unstable growth) to help plan appropriate maintenance action in a safe and cost-effective manner. To accomplish this in a reliable manner, these systems need to be monitored continuously during operations and/or while at rest to the finest resolution possible (from micro to macro scales). Until now such a feat would require a large number of electrical-based sensors of different types (thermocouples, strain gauges, accelerometers, acoustic emission sensors, ultrasonic transducers, etc.) - each one with its own power and shielded cables, signal conditioning boxes in close proximity, data loggers, and signal processors. A system of this type is not practical, with too many parts, too many cables, with requirements for electromagnetic (EMI) shielding, adding significant weight to the platform, and possible requiring more maintenance (sensor recalibration, re-soldering, prone to corrosion) than avoiding it. </w:t>
      </w:r>
    </w:p>
    <w:p w14:paraId="5279BD9D" w14:textId="77777777" w:rsidR="00C9232E" w:rsidRPr="00D0206E" w:rsidRDefault="00C9232E" w:rsidP="00C9232E">
      <w:pPr>
        <w:rPr>
          <w:rFonts w:eastAsia="Times New Roman" w:cs="Times New Roman"/>
          <w:noProof/>
          <w:color w:val="000000"/>
          <w:sz w:val="22"/>
        </w:rPr>
      </w:pPr>
    </w:p>
    <w:p w14:paraId="236C1A5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Fiber optic technology offers the possibility of performing all those monitoring activities simultaneously with a single optical fiber in a distributed fashion without corrosion or EMI issues and in a safe and cost-effective manner. For this purpose, different types of Bragg grating (BG)-like sensors would be engraved in a single fiber and interrogated from one end with a multi-laser-based interrogation unit. Cost-competitive approaches already exist in the market and new ones are being developed that can monitor temperature and strain at frequencies of up a 100 Hz or impact events and vibration in the 100 Hz to 10 kHz range with BG grating sensors engraved in a single optical fiber of up to a kilometer and interrogated continuously with a single or multiple laser based system. The challenge is expanding the range of applicability to reliably detect small amplitude, high frequency (10kHz - 1MHz) acoustic emission events from growing cracks, spoliation, fretting from faying surfaces or other damaging mechanisms at many points in the same fiber in a cost-effective manner. A possible solution would be to engrave a large number (around 100 or as many as technically feasible) of very sensitive sensors in an optical fiber with very narrow spectral features (less than 10 picometer spectral width) such as BG Fabry-Perot, pi-BG, or other BG-like sensors.  These sensors could then be interrogated with a small number (between 4 - 8 or the fewest possible consistent with reliability of detection) of low noise, high sensitivity (able to achieve a strain sensitivity of 100 femto-strain/sqrt(Hz) or better in the frequency range from 10 kHz – 1 MHz), tunable lasers (over an entire band or more) managed by an intelligent system (machine learning, neural network or neuromorphic processor) that is informed by all the sensors (low, mid and high frequency) in the network and that can position the tunable lasers dynamically on sensors near hot spots as they develop on the system being monitored. Neither the intelligent neural processor nor cost-effective (around $1,000/laser module or less), small footprint (4 sq. inches), low noise, high sensitivity, tunable lasers exist today. Most multichannel telecommunication lasers have poor frequency noise performance in the region of interest (10kHz - 1 MHz). Also, these lasers are only available in the C-band and L-band for long distance communications (100s of kilometers) but for CBM+ applications one typically only monitors distances of less than a few 100 meters where other bands could be used. </w:t>
      </w:r>
    </w:p>
    <w:p w14:paraId="053C0B99" w14:textId="77777777" w:rsidR="00C9232E" w:rsidRPr="00D0206E" w:rsidRDefault="00C9232E" w:rsidP="00C9232E">
      <w:pPr>
        <w:rPr>
          <w:rFonts w:eastAsia="Times New Roman" w:cs="Times New Roman"/>
          <w:noProof/>
          <w:color w:val="000000"/>
          <w:sz w:val="22"/>
        </w:rPr>
      </w:pPr>
    </w:p>
    <w:p w14:paraId="6B95ADB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lastRenderedPageBreak/>
        <w:t>This topic seeks innovative approaches to develop and commercialize a cost-effective, intelligent, multi-laser based system for CBM applications. The intelligent laser based fiber optic (FO) CBM system will have high strain sensitivity to detect low amplitude, high frequency and short duration ultrasonic bursts of energy generated by growing cracks or other sources. The system should operate in one of the standard communication bands and monitor close to one hundred sensors in a long optical fiber. When designing a system, the team should be aware that the background temperature around the sensors can vary by 10’s of degrees Fahrenheit in a few minutes thereby requiring feedback control to compensate for thermal drifts. Since the number of hot spots will increase over the operational life of the component/vehicle, it is desirable that the system is designed so that it can easily expand to incorporate and manage more intelligent lasers.  Ultimately (not in this SBIR topic), the intelligent system should be able to learn and reconfigure itself not just based on the data from all the sensors in the fiber optic network, but also from the other sources of information such as platform operations, environmental conditions, maintenance actions, structural drawings, system changes and others.</w:t>
      </w:r>
    </w:p>
    <w:p w14:paraId="68355995" w14:textId="77777777" w:rsidR="00C9232E" w:rsidRPr="00D0206E" w:rsidRDefault="00C9232E" w:rsidP="00C9232E">
      <w:pPr>
        <w:rPr>
          <w:rFonts w:eastAsia="Times New Roman" w:cs="Times New Roman"/>
          <w:color w:val="000000"/>
          <w:sz w:val="22"/>
        </w:rPr>
      </w:pPr>
    </w:p>
    <w:p w14:paraId="61BA93C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Define and develop a concept for a cost-effective, intelligent, multi-laser based system operating in one of the standard communication bands for monitoring close to one hundred (or as many as technical feasible) fiber optic sensors in a single long optical fiber.  These sensors will have high strain sensitivity to detect low amplitude, high frequency, low duration, ultrasonic bursts of energy generated by growing defects. For validation purposes, and to help with the down selection for the Phase II effort, the team will conduct a laboratory demonstration of a bench top system. (Note: Due to the cost restrictions of a Phase I effort, the laser system will have a minimum of one benchtop, narrow band, high sensitivity (able to achieve a strain sensitivity of 100 femto-strain/sqrt(Hz) or better in the frequency range between 100 kHz-1MHz), tunable (over an entire band), low-cost laser.  The intelligent aspects of the system will also be kept to a minimum during the Phase I to maximize resources for the laser development.)  Ensure that a minimum of three fiber optic sensors (more if the budget allows) are engraved in a long optical fiber (with the sensors effectively spatially and spectrally spaced to demonstrate performance). Prove that the three sensors can detect acoustic emissions (AE) events when coupled to a 3' x 3' x 1/8" square aluminum plate (more plates and sensors are desirable if the budget allows).  Use pencil lead break tests (ASTM E976010 Standard) to simulate acoustic emissions from growing cracks. If the budget allows, perform multiple tests that demonstrate the intelligence of the system such as by showing how it can classify different sources of AE signals in real-time or by showing how it can preposition the laser or lasers among the sensors based on knowledge gained from previous measurements. The system that demonstrates the best performance and the capability to cost effectively expand further will be selected for Phase II.</w:t>
      </w:r>
    </w:p>
    <w:p w14:paraId="4DC318CC" w14:textId="77777777" w:rsidR="00C9232E" w:rsidRPr="00D0206E" w:rsidRDefault="00C9232E" w:rsidP="00C9232E">
      <w:pPr>
        <w:rPr>
          <w:rFonts w:eastAsia="Times New Roman" w:cs="Times New Roman"/>
          <w:color w:val="000000"/>
          <w:sz w:val="22"/>
        </w:rPr>
      </w:pPr>
    </w:p>
    <w:p w14:paraId="509B211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Produce an integrated, ruggedized, cost-effective, intelligent, multi-laser based system prototype operating in one of the standard communication bands for monitoring close to one hundred (or as many as technically feasible) fiber optic sensors along a single long fiber to detect low amplitude, high frequency, low duration, ultrasonic burst of energy generated by growing defects. The final prototype will include a minimum of 8 tunable lasers.  For validation purposes, a long optical fiber with a minimum of 24 fiber optic AE sensors will be attached to the perimeters of a minimum of three 3' x 3' x 1/8" square aluminum plates (more plates and sensors are desirable if the budget allows).  If the budget allows it is desirable that other fiber optic sensors are engraved in the same optical fiber that simultaneously monitor parameter such for temperature, strain, vibration or others. The team will perform multiple experiments to demonstrate the sensitivity, adaptability and intelligent characteristics of the system.</w:t>
      </w:r>
    </w:p>
    <w:p w14:paraId="6A51B7DC" w14:textId="77777777" w:rsidR="00C9232E" w:rsidRPr="00D0206E" w:rsidRDefault="00C9232E" w:rsidP="00C9232E">
      <w:pPr>
        <w:rPr>
          <w:rFonts w:eastAsia="Times New Roman" w:cs="Times New Roman"/>
          <w:color w:val="000000"/>
          <w:sz w:val="22"/>
        </w:rPr>
      </w:pPr>
    </w:p>
    <w:p w14:paraId="5C0775D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Support the Navy in transitioning the technology for fleet use through test and validation to qualify and certify the system. Further refine the prototype for production and determine its effectiveness in an operationally relevant environment. A system of this nature could have a large number of commercial applications such as for structural health monitoring of civil aviation aircraft, oil tankers, bridges, and oil and gas pipelines for both integrity and security-related needs.</w:t>
      </w:r>
    </w:p>
    <w:p w14:paraId="253FDFA5" w14:textId="77777777" w:rsidR="00C9232E" w:rsidRPr="00D0206E" w:rsidRDefault="00C9232E" w:rsidP="00C9232E">
      <w:pPr>
        <w:rPr>
          <w:rFonts w:eastAsia="Times New Roman" w:cs="Times New Roman"/>
          <w:color w:val="000000"/>
          <w:sz w:val="22"/>
        </w:rPr>
      </w:pPr>
    </w:p>
    <w:p w14:paraId="1E737511"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E5EC286" w14:textId="3729EB7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Zhang, Qi, et al. "Acoustic emission sensor system using a chirped fiber-Bragg-grating Fabry–Perot interferometer and smart feedback control." Optics letters, Vol. 42, Issue 3, 2017, pp. 631-634. </w:t>
      </w:r>
      <w:hyperlink r:id="rId193" w:history="1">
        <w:r w:rsidR="00C25BB1" w:rsidRPr="007743A7">
          <w:rPr>
            <w:rStyle w:val="Hyperlink"/>
            <w:rFonts w:eastAsia="Times New Roman" w:cs="Times New Roman"/>
            <w:noProof/>
            <w:sz w:val="22"/>
          </w:rPr>
          <w:t>https://www.osapublishing.org/ol/abstract.cfm?uri=ol-42-3-631</w:t>
        </w:r>
      </w:hyperlink>
      <w:r w:rsidR="00C25BB1">
        <w:rPr>
          <w:rFonts w:eastAsia="Times New Roman" w:cs="Times New Roman"/>
          <w:noProof/>
          <w:color w:val="000000"/>
          <w:sz w:val="22"/>
        </w:rPr>
        <w:t xml:space="preserve"> </w:t>
      </w:r>
    </w:p>
    <w:p w14:paraId="3D1F74A6" w14:textId="77777777" w:rsidR="00EE2565" w:rsidRDefault="00EE2565" w:rsidP="00C9232E">
      <w:pPr>
        <w:rPr>
          <w:rFonts w:eastAsia="Times New Roman" w:cs="Times New Roman"/>
          <w:noProof/>
          <w:color w:val="000000"/>
          <w:sz w:val="22"/>
        </w:rPr>
      </w:pPr>
    </w:p>
    <w:p w14:paraId="2459751C" w14:textId="4DE8D86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Rosenthal, Amir, Daniel Razansky, and Ntziachristos, Vasilis. "High-sensitivity compact ultrasonic detector based on a pi-phase-shifted fiber Bragg grating." Optics letters, Vol. 36, Issue10, 2011, pp. 1833-1835. </w:t>
      </w:r>
      <w:hyperlink r:id="rId194" w:history="1">
        <w:r w:rsidR="00C25BB1" w:rsidRPr="007743A7">
          <w:rPr>
            <w:rStyle w:val="Hyperlink"/>
            <w:rFonts w:eastAsia="Times New Roman" w:cs="Times New Roman"/>
            <w:noProof/>
            <w:sz w:val="22"/>
          </w:rPr>
          <w:t>https://www.osapublishing.org/ol/abstract.cfm?uri=ol-36-10-1833</w:t>
        </w:r>
      </w:hyperlink>
      <w:r w:rsidR="00C25BB1">
        <w:rPr>
          <w:rFonts w:eastAsia="Times New Roman" w:cs="Times New Roman"/>
          <w:noProof/>
          <w:color w:val="000000"/>
          <w:sz w:val="22"/>
        </w:rPr>
        <w:t xml:space="preserve"> </w:t>
      </w:r>
    </w:p>
    <w:p w14:paraId="54CA16D4" w14:textId="77777777" w:rsidR="00EE2565" w:rsidRDefault="00EE2565" w:rsidP="00C9232E">
      <w:pPr>
        <w:rPr>
          <w:rFonts w:eastAsia="Times New Roman" w:cs="Times New Roman"/>
          <w:noProof/>
          <w:color w:val="000000"/>
          <w:sz w:val="22"/>
        </w:rPr>
      </w:pPr>
    </w:p>
    <w:p w14:paraId="16EE7244" w14:textId="728C5C0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Hu, Lingling and Han, Ming. "Reduction of laser frequency noise and intensity noise in phase-shifted fiber Bragg grating acoustic-emission sensor system." IEEE Sensors Journal, Vol. 17, Issue15, 2017, pp. 4820-4825. </w:t>
      </w:r>
      <w:hyperlink r:id="rId195" w:history="1">
        <w:r w:rsidR="00C25BB1" w:rsidRPr="007743A7">
          <w:rPr>
            <w:rStyle w:val="Hyperlink"/>
            <w:rFonts w:eastAsia="Times New Roman" w:cs="Times New Roman"/>
            <w:noProof/>
            <w:sz w:val="22"/>
          </w:rPr>
          <w:t>https://ieeexplore.ieee.org/document/7950902</w:t>
        </w:r>
      </w:hyperlink>
      <w:r w:rsidR="00C25BB1">
        <w:rPr>
          <w:rFonts w:eastAsia="Times New Roman" w:cs="Times New Roman"/>
          <w:noProof/>
          <w:color w:val="000000"/>
          <w:sz w:val="22"/>
        </w:rPr>
        <w:t xml:space="preserve"> </w:t>
      </w:r>
    </w:p>
    <w:p w14:paraId="54A24BEE" w14:textId="77777777" w:rsidR="00C9232E" w:rsidRPr="00D0206E" w:rsidRDefault="00C9232E" w:rsidP="00C9232E">
      <w:pPr>
        <w:rPr>
          <w:rFonts w:eastAsia="Times New Roman" w:cs="Times New Roman"/>
          <w:color w:val="000000"/>
          <w:sz w:val="22"/>
        </w:rPr>
      </w:pPr>
    </w:p>
    <w:p w14:paraId="7147D04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Condition Based Management Plus, Continuous Based Monitoring, Artificial Intelligence, Neuromorphic Processing, Structural Health Monitoring, Optical Fibers, Bragg Gratings, Acoustic Emission, Ultrasound Generation, Sensors and Actuators, Crack Detection</w:t>
      </w:r>
    </w:p>
    <w:p w14:paraId="6B0D7C45" w14:textId="77777777" w:rsidR="00C9232E" w:rsidRPr="00D0206E" w:rsidRDefault="00C9232E" w:rsidP="00C9232E">
      <w:pPr>
        <w:rPr>
          <w:rFonts w:eastAsia="Times New Roman" w:cs="Times New Roman"/>
          <w:color w:val="000000"/>
          <w:sz w:val="22"/>
        </w:rPr>
      </w:pPr>
    </w:p>
    <w:p w14:paraId="1A39B090" w14:textId="77777777" w:rsidR="00C9232E" w:rsidRPr="00D0206E" w:rsidRDefault="00C9232E" w:rsidP="00C9232E">
      <w:pPr>
        <w:tabs>
          <w:tab w:val="left" w:pos="1260"/>
        </w:tabs>
        <w:ind w:left="270"/>
        <w:rPr>
          <w:rFonts w:eastAsia="Times New Roman" w:cs="Times New Roman"/>
          <w:color w:val="000000"/>
          <w:sz w:val="22"/>
        </w:rPr>
      </w:pPr>
    </w:p>
    <w:p w14:paraId="3237443A" w14:textId="77777777" w:rsidR="00C9232E" w:rsidRPr="00D0206E" w:rsidRDefault="00C9232E" w:rsidP="00C9232E">
      <w:pPr>
        <w:tabs>
          <w:tab w:val="left" w:pos="1260"/>
        </w:tabs>
        <w:ind w:left="270"/>
        <w:rPr>
          <w:rFonts w:eastAsia="Times New Roman" w:cs="Times New Roman"/>
          <w:color w:val="000000"/>
          <w:sz w:val="22"/>
        </w:rPr>
      </w:pPr>
    </w:p>
    <w:p w14:paraId="0D413C97" w14:textId="77777777" w:rsidR="00C9232E" w:rsidRPr="00D0206E" w:rsidRDefault="00C9232E" w:rsidP="00C9232E">
      <w:pPr>
        <w:rPr>
          <w:rFonts w:eastAsia="Times New Roman" w:cs="Times New Roman"/>
          <w:color w:val="000000"/>
          <w:sz w:val="22"/>
        </w:rPr>
      </w:pPr>
    </w:p>
    <w:p w14:paraId="1ABE2654" w14:textId="77777777" w:rsidR="00C9232E" w:rsidRPr="00D0206E" w:rsidRDefault="00C9232E" w:rsidP="00C9232E">
      <w:pPr>
        <w:rPr>
          <w:rFonts w:eastAsia="Times New Roman" w:cs="Times New Roman"/>
          <w:color w:val="000000"/>
          <w:sz w:val="22"/>
        </w:rPr>
      </w:pPr>
    </w:p>
    <w:p w14:paraId="0BD12435"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7166C7DD"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N202-132</w:t>
      </w:r>
      <w:r w:rsidRPr="00D0206E">
        <w:rPr>
          <w:rFonts w:eastAsia="Times New Roman" w:cs="Times New Roman"/>
          <w:color w:val="000000"/>
          <w:sz w:val="22"/>
        </w:rPr>
        <w:tab/>
        <w:t xml:space="preserve">TITLE: </w:t>
      </w:r>
      <w:r w:rsidRPr="00D0206E">
        <w:rPr>
          <w:rFonts w:eastAsia="Times New Roman" w:cs="Times New Roman"/>
          <w:noProof/>
          <w:color w:val="000000"/>
          <w:sz w:val="22"/>
        </w:rPr>
        <w:t>Novel Methods to Mitigate Heat Exchanger Fouling</w:t>
      </w:r>
    </w:p>
    <w:p w14:paraId="0F0E557C" w14:textId="77777777" w:rsidR="00C9232E" w:rsidRPr="00D0206E" w:rsidRDefault="00C9232E" w:rsidP="00C9232E">
      <w:pPr>
        <w:rPr>
          <w:rFonts w:eastAsia="Times New Roman" w:cs="Times New Roman"/>
          <w:color w:val="000000"/>
          <w:sz w:val="22"/>
        </w:rPr>
      </w:pPr>
    </w:p>
    <w:p w14:paraId="33F2349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6DD9383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Ground Sea</w:t>
      </w:r>
    </w:p>
    <w:p w14:paraId="414E4CE7" w14:textId="77777777" w:rsidR="00C9232E" w:rsidRPr="00D0206E" w:rsidRDefault="00C9232E" w:rsidP="00C9232E">
      <w:pPr>
        <w:rPr>
          <w:rFonts w:eastAsia="Times New Roman" w:cs="Times New Roman"/>
          <w:color w:val="000000"/>
          <w:sz w:val="22"/>
        </w:rPr>
      </w:pPr>
    </w:p>
    <w:p w14:paraId="73E9194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fouling mitigation techniques to prolong performance of seawater heat exchangers.</w:t>
      </w:r>
    </w:p>
    <w:p w14:paraId="507C8194" w14:textId="77777777" w:rsidR="00C9232E" w:rsidRPr="00D0206E" w:rsidRDefault="00C9232E" w:rsidP="00C9232E">
      <w:pPr>
        <w:rPr>
          <w:rFonts w:eastAsia="Times New Roman" w:cs="Times New Roman"/>
          <w:color w:val="000000"/>
          <w:sz w:val="22"/>
        </w:rPr>
      </w:pPr>
    </w:p>
    <w:p w14:paraId="5383E61A"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Seawater heat exchangers are plagued by fouling, such as particulate and biological film formation, during operation. Fouling of heat exchangers is a serious and long-standing problem that can result in decreased heat transfer efficiency, higher resistance to fluid flow, increased energy consumption, decreased heat exchanger lifetime, and increased downtime necessary to replace or clean fouled parts. Biological fouling is the accumulation of microorganism, plants, algae or animals on the interior of the tube and is the type of fouling most experienced. Turf-like algae growths are increasingly found when operating in warm seawater environments. The Navy currently uses a combination of periodic chlorination and periodic seawater flush to mitigate fouling in titanium seawater heat exchangers. Seawater flushing at velocities of 3 m/s is sufficient to remove most particulates. However, electrolytic chlorinator systems used to remove biological fouling are expensive, difficult to maintain, and ineffective in warm water.</w:t>
      </w:r>
    </w:p>
    <w:p w14:paraId="061F5D66" w14:textId="77777777" w:rsidR="00C9232E" w:rsidRPr="00D0206E" w:rsidRDefault="00C9232E" w:rsidP="00C9232E">
      <w:pPr>
        <w:rPr>
          <w:rFonts w:eastAsia="Times New Roman" w:cs="Times New Roman"/>
          <w:noProof/>
          <w:color w:val="000000"/>
          <w:sz w:val="22"/>
        </w:rPr>
      </w:pPr>
    </w:p>
    <w:p w14:paraId="7C4EBF6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This topic seeks new passive or active environmental-friendly fouling mitigation techniques that would prolong heat exchanger performance and availability. Potential solutions include, but are not limited to, active controls that could periodically scrub small groups of tubes using high flow rates; head re-design to eliminate flow dead zones; and the application of novel coatings on fouling-prone areas within heat exchanger to prevent adhesion of particles or microbes with minimum degradation in heat transfer.</w:t>
      </w:r>
    </w:p>
    <w:p w14:paraId="74110EAE" w14:textId="77777777" w:rsidR="00C9232E" w:rsidRPr="00D0206E" w:rsidRDefault="00C9232E" w:rsidP="00C9232E">
      <w:pPr>
        <w:rPr>
          <w:rFonts w:eastAsia="Times New Roman" w:cs="Times New Roman"/>
          <w:color w:val="000000"/>
          <w:sz w:val="22"/>
        </w:rPr>
      </w:pPr>
    </w:p>
    <w:p w14:paraId="4D6D219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concepts to mitigate biological fouling in seawater heat exchangers. Validate feasibility by modeling and subscale demonstration at seawater temperatures up to 38 °C. Prepare a Phase II plan.</w:t>
      </w:r>
    </w:p>
    <w:p w14:paraId="6EAFA6B4" w14:textId="77777777" w:rsidR="00C9232E" w:rsidRPr="00D0206E" w:rsidRDefault="00C9232E" w:rsidP="00C9232E">
      <w:pPr>
        <w:rPr>
          <w:rFonts w:eastAsia="Times New Roman" w:cs="Times New Roman"/>
          <w:color w:val="000000"/>
          <w:sz w:val="22"/>
        </w:rPr>
      </w:pPr>
    </w:p>
    <w:p w14:paraId="639B2E5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a prototype system capable of eliminating biological fouling in a representative titanium shell and tube heat exchanger sized for a 200 refrigeration ton chiller. Evaluate performance in a relevant seawater environment (warm water port). Validate and expand analytic models (developed in Phase I) that must comply with Navy's Hazardous Material Control and Management program.</w:t>
      </w:r>
    </w:p>
    <w:p w14:paraId="534DAF9F" w14:textId="77777777" w:rsidR="00C9232E" w:rsidRPr="00D0206E" w:rsidRDefault="00C9232E" w:rsidP="00C9232E">
      <w:pPr>
        <w:rPr>
          <w:rFonts w:eastAsia="Times New Roman" w:cs="Times New Roman"/>
          <w:color w:val="000000"/>
          <w:sz w:val="22"/>
        </w:rPr>
      </w:pPr>
    </w:p>
    <w:p w14:paraId="665755C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Develop final design and manufacturing plans using the knowledge gained during Phases I and II in order to support transition of system to Navy platforms. Ensure that the final system meets Navy-unique requirements, e.g., shock, vibration and EMI. Explore dual-use applications in seawater cooled power plants, as well as commercial marine vessels.</w:t>
      </w:r>
    </w:p>
    <w:p w14:paraId="3F83A105" w14:textId="77777777" w:rsidR="00C9232E" w:rsidRPr="00D0206E" w:rsidRDefault="00C9232E" w:rsidP="00C9232E">
      <w:pPr>
        <w:rPr>
          <w:rFonts w:eastAsia="Times New Roman" w:cs="Times New Roman"/>
          <w:color w:val="000000"/>
          <w:sz w:val="22"/>
        </w:rPr>
      </w:pPr>
    </w:p>
    <w:p w14:paraId="37C506D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CA477FE" w14:textId="10B3BF0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Satpathy K.K. et al. “Biofouling and its control in seawater cooled power plant cooling water system - a review.” Nuclear Power, IntechOpen, DOI: 10.5772/9912 (2010). </w:t>
      </w:r>
      <w:hyperlink r:id="rId196" w:history="1">
        <w:r w:rsidR="00C25BB1" w:rsidRPr="007743A7">
          <w:rPr>
            <w:rStyle w:val="Hyperlink"/>
            <w:rFonts w:eastAsia="Times New Roman" w:cs="Times New Roman"/>
            <w:noProof/>
            <w:sz w:val="22"/>
          </w:rPr>
          <w:t>https://www.researchgate.net/publication/221909115_Biofouling_and_its_Control_in_Seawater_Cooled_Power_Plant_Cooling_Water_System_-_A_Review</w:t>
        </w:r>
      </w:hyperlink>
      <w:r w:rsidR="00C25BB1">
        <w:rPr>
          <w:rFonts w:eastAsia="Times New Roman" w:cs="Times New Roman"/>
          <w:noProof/>
          <w:color w:val="000000"/>
          <w:sz w:val="22"/>
        </w:rPr>
        <w:t xml:space="preserve"> </w:t>
      </w:r>
    </w:p>
    <w:p w14:paraId="47841D75" w14:textId="77777777" w:rsidR="00EE2565" w:rsidRDefault="00EE2565" w:rsidP="00C9232E">
      <w:pPr>
        <w:rPr>
          <w:rFonts w:eastAsia="Times New Roman" w:cs="Times New Roman"/>
          <w:noProof/>
          <w:color w:val="000000"/>
          <w:sz w:val="22"/>
        </w:rPr>
      </w:pPr>
    </w:p>
    <w:p w14:paraId="6C9C17D9" w14:textId="0E6C4B5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Fan, S. et al. “A state-of-the-art review on passivation and biofouling of Ti and its alloys in marine environments.” Journal of Materials Science &amp; Technology 34, 2018, pp. 421–435,. </w:t>
      </w:r>
      <w:hyperlink r:id="rId197" w:history="1">
        <w:r w:rsidR="00C25BB1" w:rsidRPr="007743A7">
          <w:rPr>
            <w:rStyle w:val="Hyperlink"/>
            <w:rFonts w:eastAsia="Times New Roman" w:cs="Times New Roman"/>
            <w:noProof/>
            <w:sz w:val="22"/>
          </w:rPr>
          <w:t>https://www.sciencedirect.com/science/article/pii/S1005030217302840</w:t>
        </w:r>
      </w:hyperlink>
      <w:r w:rsidR="00C25BB1">
        <w:rPr>
          <w:rFonts w:eastAsia="Times New Roman" w:cs="Times New Roman"/>
          <w:noProof/>
          <w:color w:val="000000"/>
          <w:sz w:val="22"/>
        </w:rPr>
        <w:t xml:space="preserve"> </w:t>
      </w:r>
    </w:p>
    <w:p w14:paraId="49B3ED93" w14:textId="77777777" w:rsidR="00EE2565" w:rsidRDefault="00EE2565" w:rsidP="00C9232E">
      <w:pPr>
        <w:rPr>
          <w:rFonts w:eastAsia="Times New Roman" w:cs="Times New Roman"/>
          <w:noProof/>
          <w:color w:val="000000"/>
          <w:sz w:val="22"/>
        </w:rPr>
      </w:pPr>
    </w:p>
    <w:p w14:paraId="29D9400B" w14:textId="77777777" w:rsidR="00EE2565"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3. Mamroth, A., Frank, M., Hollish, C., Brown, R. and Simpson, M.W. “A Hybrid Marine Air Conditioning Plant Model for Condition-Based Maintenance Diagnostics.” Proceedings of ASNE Advanced Machinery Technology Symposium (2020).</w:t>
      </w:r>
    </w:p>
    <w:p w14:paraId="150A52D5" w14:textId="77777777" w:rsidR="00EE2565" w:rsidRDefault="00EE2565" w:rsidP="00C9232E">
      <w:pPr>
        <w:rPr>
          <w:rFonts w:eastAsia="Times New Roman" w:cs="Times New Roman"/>
          <w:noProof/>
          <w:color w:val="000000"/>
          <w:sz w:val="22"/>
        </w:rPr>
      </w:pPr>
    </w:p>
    <w:p w14:paraId="3B4BD219" w14:textId="450BA74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Navy Safety and Occupational Health (SOH) Program Manual for Forces. OPNAVINST 5100.19F. </w:t>
      </w:r>
      <w:hyperlink r:id="rId198" w:history="1">
        <w:r w:rsidR="00C25BB1" w:rsidRPr="007743A7">
          <w:rPr>
            <w:rStyle w:val="Hyperlink"/>
            <w:rFonts w:eastAsia="Times New Roman" w:cs="Times New Roman"/>
            <w:noProof/>
            <w:sz w:val="22"/>
          </w:rPr>
          <w:t>https://www.secnav.navy.mil/doni/Directives/05000%20General%20Management%20Security%20and%20Safety%20Services/05-100%20Safety%20and%20Occupational%20Health%20Services/5100.19F.pdf</w:t>
        </w:r>
      </w:hyperlink>
      <w:r w:rsidR="00C25BB1">
        <w:rPr>
          <w:rFonts w:eastAsia="Times New Roman" w:cs="Times New Roman"/>
          <w:noProof/>
          <w:color w:val="000000"/>
          <w:sz w:val="22"/>
        </w:rPr>
        <w:t xml:space="preserve"> </w:t>
      </w:r>
    </w:p>
    <w:p w14:paraId="66C7E312" w14:textId="77777777" w:rsidR="00C9232E" w:rsidRPr="00D0206E" w:rsidRDefault="00C9232E" w:rsidP="00C9232E">
      <w:pPr>
        <w:rPr>
          <w:rFonts w:eastAsia="Times New Roman" w:cs="Times New Roman"/>
          <w:color w:val="000000"/>
          <w:sz w:val="22"/>
        </w:rPr>
      </w:pPr>
    </w:p>
    <w:p w14:paraId="1D5F092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Thermal Management, Heat Exchangers, Biofouling, Coatings</w:t>
      </w:r>
    </w:p>
    <w:p w14:paraId="61EEC7F3" w14:textId="77777777" w:rsidR="00C9232E" w:rsidRPr="00D0206E" w:rsidRDefault="00C9232E" w:rsidP="00C9232E">
      <w:pPr>
        <w:rPr>
          <w:rFonts w:eastAsia="Times New Roman" w:cs="Times New Roman"/>
          <w:color w:val="000000"/>
          <w:sz w:val="22"/>
        </w:rPr>
      </w:pPr>
    </w:p>
    <w:p w14:paraId="61FD6671" w14:textId="77777777" w:rsidR="00C9232E" w:rsidRPr="00D0206E" w:rsidRDefault="00C9232E" w:rsidP="00C9232E">
      <w:pPr>
        <w:tabs>
          <w:tab w:val="left" w:pos="1260"/>
        </w:tabs>
        <w:ind w:left="270"/>
        <w:rPr>
          <w:rFonts w:eastAsia="Times New Roman" w:cs="Times New Roman"/>
          <w:color w:val="000000"/>
          <w:sz w:val="22"/>
        </w:rPr>
      </w:pPr>
    </w:p>
    <w:p w14:paraId="514FDADC" w14:textId="77777777" w:rsidR="00C9232E" w:rsidRPr="00D0206E" w:rsidRDefault="00C9232E" w:rsidP="00C9232E">
      <w:pPr>
        <w:tabs>
          <w:tab w:val="left" w:pos="1260"/>
        </w:tabs>
        <w:ind w:left="270"/>
        <w:rPr>
          <w:rFonts w:eastAsia="Times New Roman" w:cs="Times New Roman"/>
          <w:color w:val="000000"/>
          <w:sz w:val="22"/>
        </w:rPr>
      </w:pPr>
    </w:p>
    <w:p w14:paraId="7F8C13A4" w14:textId="77777777" w:rsidR="00C9232E" w:rsidRPr="00D0206E" w:rsidRDefault="00C9232E" w:rsidP="00C9232E">
      <w:pPr>
        <w:tabs>
          <w:tab w:val="left" w:pos="1260"/>
        </w:tabs>
        <w:ind w:left="270"/>
        <w:rPr>
          <w:rFonts w:eastAsia="Times New Roman" w:cs="Times New Roman"/>
          <w:color w:val="000000"/>
          <w:sz w:val="22"/>
        </w:rPr>
      </w:pPr>
    </w:p>
    <w:p w14:paraId="3BDA8618" w14:textId="77777777" w:rsidR="00C9232E" w:rsidRPr="00D0206E" w:rsidRDefault="00C9232E" w:rsidP="00C9232E">
      <w:pPr>
        <w:rPr>
          <w:rFonts w:eastAsia="Times New Roman" w:cs="Times New Roman"/>
          <w:color w:val="000000"/>
          <w:sz w:val="22"/>
        </w:rPr>
      </w:pPr>
    </w:p>
    <w:p w14:paraId="495728F3" w14:textId="77777777" w:rsidR="00C9232E" w:rsidRPr="00D0206E" w:rsidRDefault="00C9232E" w:rsidP="00C9232E">
      <w:pPr>
        <w:rPr>
          <w:rFonts w:eastAsia="Times New Roman" w:cs="Times New Roman"/>
          <w:color w:val="000000"/>
          <w:sz w:val="22"/>
        </w:rPr>
      </w:pPr>
    </w:p>
    <w:p w14:paraId="2FCAD123"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12C603E9"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N202-133</w:t>
      </w:r>
      <w:r w:rsidRPr="00D0206E">
        <w:rPr>
          <w:rFonts w:eastAsia="Times New Roman" w:cs="Times New Roman"/>
          <w:color w:val="000000"/>
          <w:sz w:val="22"/>
        </w:rPr>
        <w:tab/>
        <w:t xml:space="preserve">TITLE: </w:t>
      </w:r>
      <w:r w:rsidRPr="00D0206E">
        <w:rPr>
          <w:rFonts w:eastAsia="Times New Roman" w:cs="Times New Roman"/>
          <w:noProof/>
          <w:color w:val="000000"/>
          <w:sz w:val="22"/>
        </w:rPr>
        <w:t>Multimodal Interaction Technologies to Support Small Unit Leaders</w:t>
      </w:r>
    </w:p>
    <w:p w14:paraId="5190AD1A" w14:textId="77777777" w:rsidR="00C9232E" w:rsidRPr="00D0206E" w:rsidRDefault="00C9232E" w:rsidP="00C9232E">
      <w:pPr>
        <w:rPr>
          <w:rFonts w:eastAsia="Times New Roman" w:cs="Times New Roman"/>
          <w:color w:val="000000"/>
          <w:sz w:val="22"/>
        </w:rPr>
      </w:pPr>
    </w:p>
    <w:p w14:paraId="364DA5C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Autonomy</w:t>
      </w:r>
    </w:p>
    <w:p w14:paraId="5BDD62E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Human Systems</w:t>
      </w:r>
    </w:p>
    <w:p w14:paraId="57287782" w14:textId="77777777" w:rsidR="00C9232E" w:rsidRPr="00D0206E" w:rsidRDefault="00C9232E" w:rsidP="00C9232E">
      <w:pPr>
        <w:rPr>
          <w:rFonts w:eastAsia="Times New Roman" w:cs="Times New Roman"/>
          <w:color w:val="000000"/>
          <w:sz w:val="22"/>
        </w:rPr>
      </w:pPr>
    </w:p>
    <w:p w14:paraId="467DA18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prototype system that leverages the current state-of-the-art in multimodal input/output (I/O) methodologies to control unmanned systems (UxS) at varying levels (i.e., from issuing broad tasking down to teleoperation) and to monitor status (i.e., see video from cameras, position on a map). This system will enable a graceful transition between Human-computer Interaction (HCI) technologies, including gesture [Ref 1], speech, eyetracking [Ref 2], manual control, teleoperation, and more [Ref 3]. This transition can be initiated by the user or by the system itself detecting environmental or operational circumstances.</w:t>
      </w:r>
    </w:p>
    <w:p w14:paraId="5CAA6FB7" w14:textId="77777777" w:rsidR="00C9232E" w:rsidRPr="00D0206E" w:rsidRDefault="00C9232E" w:rsidP="00C9232E">
      <w:pPr>
        <w:rPr>
          <w:rFonts w:eastAsia="Times New Roman" w:cs="Times New Roman"/>
          <w:color w:val="000000"/>
          <w:sz w:val="22"/>
        </w:rPr>
      </w:pPr>
    </w:p>
    <w:p w14:paraId="118C97C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A number of unmanned systems are being deployed to the Fleet and Force, including Naval Special Warfare (NSW) operators and U.S. Marine Corps small unit leaders. UxS can provide enhanced command &amp; control (C2) and Intelligence, Surveillance, and Reconnaissance (ISR) capabilities, but there remains an open question on how to effectively control these systems. There are many use cases that demand different control schemes. For example, if remotely surveilling a building, direct teleoperation and monitoring through a tablet may suffice. However, in room clearance operations, the warfighter’s hands will be occupied, so a speech interface and monitoring through a HUD is ideal. In yet another scenario, eyetracking or a gestural interface may be required. How to gracefully transition between these interaction modalities is unknown, and human-machine teaming is ripe for the integration of interface technologies to support a variety of operations.</w:t>
      </w:r>
    </w:p>
    <w:p w14:paraId="59A6532D" w14:textId="77777777" w:rsidR="00C9232E" w:rsidRPr="00D0206E" w:rsidRDefault="00C9232E" w:rsidP="00C9232E">
      <w:pPr>
        <w:rPr>
          <w:rFonts w:eastAsia="Times New Roman" w:cs="Times New Roman"/>
          <w:noProof/>
          <w:color w:val="000000"/>
          <w:sz w:val="22"/>
        </w:rPr>
      </w:pPr>
    </w:p>
    <w:p w14:paraId="5CD1C88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One solution is to draw from the communications domain, which uses the Primary, Alternate, Contingency, and Emergency (PACE) model to allow for failover between communications systems. While human-machine interfaces cannot be ranked like communications protocols (e.g., by available bandwidth), there are advantages and disadvantages to different input (control) methods (teleoperation, eyetracking, speech, gestures, etc.) and output (monitoring) methods (weapon-attached screen, tablet, HUD, etc.). It is critical to understand the operator- and environment-centered circumstances that lend themselves to specific I/O methods working better than others.</w:t>
      </w:r>
    </w:p>
    <w:p w14:paraId="7707B5F1" w14:textId="77777777" w:rsidR="00C9232E" w:rsidRPr="00D0206E" w:rsidRDefault="00C9232E" w:rsidP="00C9232E">
      <w:pPr>
        <w:rPr>
          <w:rFonts w:eastAsia="Times New Roman" w:cs="Times New Roman"/>
          <w:noProof/>
          <w:color w:val="000000"/>
          <w:sz w:val="22"/>
        </w:rPr>
      </w:pPr>
    </w:p>
    <w:p w14:paraId="7DDBCDE4"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This SBIR topic seeks to integrate existing human-machine interface technologies, minimize the amount of extra equipment needed to be carried by the warfighter, and develop a prototype system that allows for graceful transition between I/O methodologies based on a number of factors (user preference, operational circumstances, system recommendation, etc.). The system should be easy to use by the warfighter and provide flexible interaction modalities with UxS(s) as missions and situations rapidly change.</w:t>
      </w:r>
    </w:p>
    <w:p w14:paraId="7476A108" w14:textId="77777777" w:rsidR="00C9232E" w:rsidRPr="00D0206E" w:rsidRDefault="00C9232E" w:rsidP="00C9232E">
      <w:pPr>
        <w:rPr>
          <w:rFonts w:eastAsia="Times New Roman" w:cs="Times New Roman"/>
          <w:color w:val="000000"/>
          <w:sz w:val="22"/>
        </w:rPr>
      </w:pPr>
    </w:p>
    <w:p w14:paraId="060C9DD4"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Determine requirements for how warfighters will use companion UxS(s) in missions, focusing on NSW and Marine Corps squad leader use cases. Collect information on various I/O methodologies and determine how they can be integrated into a holistic UxS control and monitoring system. Phase I deliverables will include: (1) use cases for warfighter and UxS teaming, (2) identification of control and monitoring systems for integration, (3) an understanding of the pros and cons of each I/O modality and associated human factors principles for design, and (4) mock-ups or a prototype of the system.</w:t>
      </w:r>
    </w:p>
    <w:p w14:paraId="2D0F937A" w14:textId="77777777" w:rsidR="00C9232E" w:rsidRPr="00D0206E" w:rsidRDefault="00C9232E" w:rsidP="00C9232E">
      <w:pPr>
        <w:rPr>
          <w:rFonts w:eastAsia="Times New Roman" w:cs="Times New Roman"/>
          <w:noProof/>
          <w:color w:val="000000"/>
          <w:sz w:val="22"/>
        </w:rPr>
      </w:pPr>
    </w:p>
    <w:p w14:paraId="49997168"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Phase I Option, if exercised, should also include the processing and submission of all required human subjects use protocols, should these be required. Due to the long review times involved, human subject research is not allowed during Phase I. Phase II plans should include key component technological milestones and plans for at least one operational test and evaluation, to include user testing.</w:t>
      </w:r>
    </w:p>
    <w:p w14:paraId="1EA08491" w14:textId="77777777" w:rsidR="00C9232E" w:rsidRPr="00D0206E" w:rsidRDefault="00C9232E" w:rsidP="00C9232E">
      <w:pPr>
        <w:rPr>
          <w:rFonts w:eastAsia="Times New Roman" w:cs="Times New Roman"/>
          <w:color w:val="000000"/>
          <w:sz w:val="22"/>
        </w:rPr>
      </w:pPr>
    </w:p>
    <w:p w14:paraId="0F0A63B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II: </w:t>
      </w:r>
      <w:r w:rsidRPr="00D0206E">
        <w:rPr>
          <w:rFonts w:eastAsia="Times New Roman" w:cs="Times New Roman"/>
          <w:noProof/>
          <w:color w:val="000000"/>
          <w:sz w:val="22"/>
        </w:rPr>
        <w:t>Develop a prototype system based on Phase I effort and conduct a field demonstration between a user and UxS(s). Specifically, the target audience (e.g., NSW operator or Marine Corps squad team leader) will be identified, along with a relevant UxS(s). Technologies identified in Phase I will be integrated with the user’s standard equipment. Additional software will be created to manage the various I/O modalities, allowing for smooth user-initiated transition or software-automated transition based on detection of environmental or operator workload circumstances. System design will occur in an iterative fashion, with multiple user group interactions feeding back into development. Phase II deliverables include: (1) a working prototype of the system that a user is able to control and switch between modalities, and (2) a field demonstration of a complete or near-complete system to users and stakeholders with users completing a variety of scenarios, easily switching between input (control) and output (monitoring) methods.</w:t>
      </w:r>
    </w:p>
    <w:p w14:paraId="1CA0A120" w14:textId="77777777" w:rsidR="00C9232E" w:rsidRPr="00D0206E" w:rsidRDefault="00C9232E" w:rsidP="00C9232E">
      <w:pPr>
        <w:rPr>
          <w:rFonts w:eastAsia="Times New Roman" w:cs="Times New Roman"/>
          <w:color w:val="000000"/>
          <w:sz w:val="22"/>
        </w:rPr>
      </w:pPr>
    </w:p>
    <w:p w14:paraId="59521833"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Support the customer (NSW or Marine Corps) in transitioning the technology for use. Further develop the software and hardware system for evaluation to determine its effectiveness in the field for NSW or Marine Corps scenarios. As appropriate, focus on broadening capabilities and commercialization plans.</w:t>
      </w:r>
    </w:p>
    <w:p w14:paraId="3D77329F" w14:textId="77777777" w:rsidR="00C9232E" w:rsidRPr="00D0206E" w:rsidRDefault="00C9232E" w:rsidP="00C9232E">
      <w:pPr>
        <w:rPr>
          <w:rFonts w:eastAsia="Times New Roman" w:cs="Times New Roman"/>
          <w:noProof/>
          <w:color w:val="000000"/>
          <w:sz w:val="22"/>
        </w:rPr>
      </w:pPr>
    </w:p>
    <w:p w14:paraId="20DDCC4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Commercially, there are many explorations of different human-machine interface modalities. Companies are developing augmented reality technologies (e.g., Microsoft and Apple), eyetracking (e.g., Tobii and some Samsung Galaxy phones), speech interfaces (e.g., Amazon, Google, and Apple), and gesture control (e.g., Google Pixel phones, Microsoft Kinect). Development of affordable, scalable, and non-proprietary human-machine interfaces is not a current priority in the private sector. However, as new phones, tablets, smart watches, wireless earbuds, AR glasses, and more come to market, the commercial world will need to develop an integrated control scheme to manage these devices without overwhelming the user. Therefore, technology developed will have broad application to the private sector.</w:t>
      </w:r>
    </w:p>
    <w:p w14:paraId="77F2F424" w14:textId="77777777" w:rsidR="00C9232E" w:rsidRPr="00D0206E" w:rsidRDefault="00C9232E" w:rsidP="00C9232E">
      <w:pPr>
        <w:rPr>
          <w:rFonts w:eastAsia="Times New Roman" w:cs="Times New Roman"/>
          <w:color w:val="000000"/>
          <w:sz w:val="22"/>
        </w:rPr>
      </w:pPr>
    </w:p>
    <w:p w14:paraId="3E8D114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44DD732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Cauchard, J. R., Tamkin, A., Wang, C. Y., Vink, L., Park, M., Fang, T., &amp; Landay, J. A. (2019, March). Drone. io: A Gestural and Visual Interface for Human-Drone Interaction. In 2019 14th ACM/IEEE International Conference on Human-Robot Interaction (HRI) (pp. 153-162). IEEE.</w:t>
      </w:r>
    </w:p>
    <w:p w14:paraId="4D33B56C" w14:textId="77777777" w:rsidR="00E4392E" w:rsidRDefault="00E4392E" w:rsidP="00C9232E">
      <w:pPr>
        <w:rPr>
          <w:rFonts w:eastAsia="Times New Roman" w:cs="Times New Roman"/>
          <w:noProof/>
          <w:color w:val="000000"/>
          <w:sz w:val="22"/>
        </w:rPr>
      </w:pPr>
    </w:p>
    <w:p w14:paraId="7E970072" w14:textId="47E23C6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2. Yuan, L., Reardon, C., Warnell, G., &amp; Loianno, G. (2019). Human gaze-driven spatial tasking of an autonomous MAV. IEEE Robotics and Automation Letters, 4(2), 1343-1350.</w:t>
      </w:r>
    </w:p>
    <w:p w14:paraId="1BDDED8A" w14:textId="77777777" w:rsidR="00E4392E" w:rsidRDefault="00E4392E" w:rsidP="00C9232E">
      <w:pPr>
        <w:rPr>
          <w:rFonts w:eastAsia="Times New Roman" w:cs="Times New Roman"/>
          <w:noProof/>
          <w:color w:val="000000"/>
          <w:sz w:val="22"/>
        </w:rPr>
      </w:pPr>
    </w:p>
    <w:p w14:paraId="01F9037D" w14:textId="5ED06CA8"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3. Calhoun, G. L., Draper, M. H., Guilfoos, B. J., &amp; Ruff, H. A. (2005). Tactile and Aural Alerts in High Auditory Load UAV Control Environments. Proceedings of the Human Factors and Ergonomics Society Annual Meeting, 49(1), 145–149.</w:t>
      </w:r>
      <w:r w:rsidR="00C25BB1">
        <w:rPr>
          <w:rFonts w:eastAsia="Times New Roman" w:cs="Times New Roman"/>
          <w:noProof/>
          <w:color w:val="000000"/>
          <w:sz w:val="22"/>
        </w:rPr>
        <w:t xml:space="preserve"> </w:t>
      </w:r>
    </w:p>
    <w:p w14:paraId="49077F71" w14:textId="77777777" w:rsidR="00C9232E" w:rsidRPr="00D0206E" w:rsidRDefault="00C9232E" w:rsidP="00C9232E">
      <w:pPr>
        <w:rPr>
          <w:rFonts w:eastAsia="Times New Roman" w:cs="Times New Roman"/>
          <w:color w:val="000000"/>
          <w:sz w:val="22"/>
        </w:rPr>
      </w:pPr>
    </w:p>
    <w:p w14:paraId="3FB0F24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Human-computer Interaction, Eyetracking, Speech Interfaces, Gesture Interfaces, Augmented Reality</w:t>
      </w:r>
    </w:p>
    <w:p w14:paraId="024AC784" w14:textId="77777777" w:rsidR="00C9232E" w:rsidRPr="00D0206E" w:rsidRDefault="00C9232E" w:rsidP="00C9232E">
      <w:pPr>
        <w:rPr>
          <w:rFonts w:eastAsia="Times New Roman" w:cs="Times New Roman"/>
          <w:color w:val="000000"/>
          <w:sz w:val="22"/>
        </w:rPr>
      </w:pPr>
    </w:p>
    <w:p w14:paraId="2315F982" w14:textId="77777777" w:rsidR="00C9232E" w:rsidRPr="00D0206E" w:rsidRDefault="00C9232E" w:rsidP="00C9232E">
      <w:pPr>
        <w:tabs>
          <w:tab w:val="left" w:pos="1260"/>
        </w:tabs>
        <w:ind w:left="270"/>
        <w:rPr>
          <w:rFonts w:eastAsia="Times New Roman" w:cs="Times New Roman"/>
          <w:color w:val="000000"/>
          <w:sz w:val="22"/>
        </w:rPr>
      </w:pPr>
    </w:p>
    <w:p w14:paraId="1D11B84F" w14:textId="77777777" w:rsidR="00C9232E" w:rsidRPr="00D0206E" w:rsidRDefault="00C9232E" w:rsidP="00C9232E">
      <w:pPr>
        <w:tabs>
          <w:tab w:val="left" w:pos="1260"/>
        </w:tabs>
        <w:ind w:left="270"/>
        <w:rPr>
          <w:rFonts w:eastAsia="Times New Roman" w:cs="Times New Roman"/>
          <w:color w:val="000000"/>
          <w:sz w:val="22"/>
        </w:rPr>
      </w:pPr>
    </w:p>
    <w:p w14:paraId="4BD87E7F" w14:textId="77777777" w:rsidR="00C9232E" w:rsidRPr="00D0206E" w:rsidRDefault="00C9232E" w:rsidP="00C9232E">
      <w:pPr>
        <w:tabs>
          <w:tab w:val="left" w:pos="1260"/>
        </w:tabs>
        <w:ind w:left="270"/>
        <w:rPr>
          <w:rFonts w:eastAsia="Times New Roman" w:cs="Times New Roman"/>
          <w:color w:val="000000"/>
          <w:sz w:val="22"/>
        </w:rPr>
      </w:pPr>
    </w:p>
    <w:p w14:paraId="4B79B922" w14:textId="77777777" w:rsidR="00C9232E" w:rsidRPr="00D0206E" w:rsidRDefault="00C9232E" w:rsidP="00C9232E">
      <w:pPr>
        <w:rPr>
          <w:rFonts w:eastAsia="Times New Roman" w:cs="Times New Roman"/>
          <w:color w:val="000000"/>
          <w:sz w:val="22"/>
        </w:rPr>
      </w:pPr>
    </w:p>
    <w:p w14:paraId="17C035E1" w14:textId="77777777" w:rsidR="00C9232E" w:rsidRPr="00D0206E" w:rsidRDefault="00C9232E" w:rsidP="00C9232E">
      <w:pPr>
        <w:rPr>
          <w:rFonts w:eastAsia="Times New Roman" w:cs="Times New Roman"/>
          <w:color w:val="000000"/>
          <w:sz w:val="22"/>
        </w:rPr>
      </w:pPr>
    </w:p>
    <w:p w14:paraId="43DFBB20"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791A91EA"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N202-134</w:t>
      </w:r>
      <w:r w:rsidRPr="00D0206E">
        <w:rPr>
          <w:rFonts w:eastAsia="Times New Roman" w:cs="Times New Roman"/>
          <w:color w:val="000000"/>
          <w:sz w:val="22"/>
        </w:rPr>
        <w:tab/>
        <w:t xml:space="preserve">TITLE: </w:t>
      </w:r>
      <w:r w:rsidRPr="00D0206E">
        <w:rPr>
          <w:rFonts w:eastAsia="Times New Roman" w:cs="Times New Roman"/>
          <w:noProof/>
          <w:color w:val="000000"/>
          <w:sz w:val="22"/>
        </w:rPr>
        <w:t>Radio Frequency Buoyant Cable Antenna Transfer Mechanism</w:t>
      </w:r>
    </w:p>
    <w:p w14:paraId="0B5CAF4E" w14:textId="77777777" w:rsidR="00C9232E" w:rsidRPr="00D0206E" w:rsidRDefault="00C9232E" w:rsidP="00C9232E">
      <w:pPr>
        <w:rPr>
          <w:rFonts w:eastAsia="Times New Roman" w:cs="Times New Roman"/>
          <w:color w:val="000000"/>
          <w:sz w:val="22"/>
        </w:rPr>
      </w:pPr>
    </w:p>
    <w:p w14:paraId="7DBDE90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Network Command, Control and Communications, Nuclear</w:t>
      </w:r>
    </w:p>
    <w:p w14:paraId="79A1730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Information Systems, Ground Sea, Materials</w:t>
      </w:r>
    </w:p>
    <w:p w14:paraId="41C6CA74" w14:textId="77777777" w:rsidR="00C9232E" w:rsidRPr="00D0206E" w:rsidRDefault="00C9232E" w:rsidP="00C9232E">
      <w:pPr>
        <w:rPr>
          <w:rFonts w:eastAsia="Times New Roman" w:cs="Times New Roman"/>
          <w:color w:val="000000"/>
          <w:sz w:val="22"/>
        </w:rPr>
      </w:pPr>
    </w:p>
    <w:p w14:paraId="0251A82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Buoyant Cable Antenna (BCA) handling/transfer mechanism that can provide sufficient pushing and pulling force to cabled antennas at depth while limiting wear and stress to the cable.</w:t>
      </w:r>
    </w:p>
    <w:p w14:paraId="11AD6645" w14:textId="77777777" w:rsidR="00C9232E" w:rsidRPr="00D0206E" w:rsidRDefault="00C9232E" w:rsidP="00C9232E">
      <w:pPr>
        <w:rPr>
          <w:rFonts w:eastAsia="Times New Roman" w:cs="Times New Roman"/>
          <w:color w:val="000000"/>
          <w:sz w:val="22"/>
        </w:rPr>
      </w:pPr>
    </w:p>
    <w:p w14:paraId="4439271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The submarine fleet within the U.S. Navy has been successful in a wide range of missions. For many of these missions, success or failure depends on the submarine’s ability to be stealthy and remain undetected by opposing forces. While submerged, maintaining stealth when communicating can be done through the use of towed horizontal floating wire RF antennas. However, new antenna and situational awareness sensor designs are not compatible with current floating wire antenna submarine deployment mechanisms. Furthermore, current antenna designs rely on deployment mechanisms designed in the 1960s and 1970s. Technological advancements in material and manufacturing processes since the 1960s create an opportunity to design a newer innovative handler with increased capability. Newer mechanical developments and innovations, such as linear transaction drives, have been proven for use in similar applications on other nations’ submarines and may offer improvements over existing push/pull pulley systems. </w:t>
      </w:r>
    </w:p>
    <w:p w14:paraId="5F9D1C15" w14:textId="77777777" w:rsidR="00C9232E" w:rsidRPr="00D0206E" w:rsidRDefault="00C9232E" w:rsidP="00C9232E">
      <w:pPr>
        <w:rPr>
          <w:rFonts w:eastAsia="Times New Roman" w:cs="Times New Roman"/>
          <w:noProof/>
          <w:color w:val="000000"/>
          <w:sz w:val="22"/>
        </w:rPr>
      </w:pPr>
    </w:p>
    <w:p w14:paraId="294B281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goal of this SBIR topic is to produce a BCA transfer mechanism capable of deploying, towing, and retrieving a BCA at speed and depth with minimal wear on the BCA. Minimal wear is considered as 2000 feet of BCA is deployed and retrieved 40 or more times. The size and layout shall be suitable to enable replacement of the existing submarine system. The final product will be a BCA transfer mechanism that is able to provide sufficient pushing and pulling force while limiting cable stress and enabling the use of additional sensors. The effort shall demonstrate the following capabilities:  </w:t>
      </w:r>
    </w:p>
    <w:p w14:paraId="434E1216"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BCA transfer mechanism’s capability of deploying, towing and retrieving a BCA with cable diameter between 0.85 to 0.95 inches. A sample cable can be provided by the Government upon contract award. </w:t>
      </w:r>
    </w:p>
    <w:p w14:paraId="2518A904"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Demonstrate the transfer mechanism can deploy and retrieve a BCA at a speed of 0 to 20 feet per minute or faster.</w:t>
      </w:r>
    </w:p>
    <w:p w14:paraId="3E18BBD2"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Demonstrate the transfer mechanism can generate a threshold minimum pulling force of 2000 pound-force (lbf) on the cable.</w:t>
      </w:r>
    </w:p>
    <w:p w14:paraId="55EA3810"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transfer mechanism can generate a threshold minimum pushing force of 150 lbf on the cable.  </w:t>
      </w:r>
    </w:p>
    <w:p w14:paraId="15759050"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mechanism does not bend the BCA at less than 8.3 inches of bending radius in order to limit mechanical stress and wear on BCA. </w:t>
      </w:r>
    </w:p>
    <w:p w14:paraId="5A2E0003"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handling system will fit within the space and arrangement constraints of the legacy system. Approximate available space for system are shown in Table One. </w:t>
      </w:r>
    </w:p>
    <w:p w14:paraId="31C360B6" w14:textId="77777777" w:rsidR="00C9232E" w:rsidRPr="00D0206E" w:rsidRDefault="00C9232E" w:rsidP="00C9232E">
      <w:pPr>
        <w:rPr>
          <w:rFonts w:eastAsia="Times New Roman" w:cs="Times New Roman"/>
          <w:noProof/>
          <w:color w:val="000000"/>
          <w:sz w:val="22"/>
        </w:rPr>
      </w:pPr>
    </w:p>
    <w:p w14:paraId="2F61F5F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Table One</w:t>
      </w:r>
    </w:p>
    <w:p w14:paraId="5C26DCE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Transfer Mechanism: Height (in) 33; Width (in) 18; Depth (in) 14; Vol (cu. Ft.) 4.8; Weight (lbs) 400</w:t>
      </w:r>
    </w:p>
    <w:p w14:paraId="59F461C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Cable Stowage Reel: Height (in) 47; Width (in) 42; Depth (in) 38; Vol (cu. Ft.) 43.4; Weight (lbs) 950</w:t>
      </w:r>
    </w:p>
    <w:p w14:paraId="0F57F86C" w14:textId="77777777" w:rsidR="00C9232E" w:rsidRPr="00D0206E" w:rsidRDefault="00C9232E" w:rsidP="00C9232E">
      <w:pPr>
        <w:rPr>
          <w:rFonts w:eastAsia="Times New Roman" w:cs="Times New Roman"/>
          <w:noProof/>
          <w:color w:val="000000"/>
          <w:sz w:val="22"/>
        </w:rPr>
      </w:pPr>
    </w:p>
    <w:p w14:paraId="3CE1F4A4" w14:textId="77777777" w:rsidR="00C9232E" w:rsidRPr="00D0206E" w:rsidRDefault="00C9232E" w:rsidP="00C34768">
      <w:pPr>
        <w:pStyle w:val="ListParagraph"/>
        <w:numPr>
          <w:ilvl w:val="0"/>
          <w:numId w:val="11"/>
        </w:numPr>
        <w:rPr>
          <w:noProof/>
          <w:color w:val="000000"/>
          <w:sz w:val="22"/>
          <w:szCs w:val="22"/>
        </w:rPr>
      </w:pPr>
      <w:r w:rsidRPr="00D0206E">
        <w:rPr>
          <w:noProof/>
          <w:color w:val="000000"/>
          <w:sz w:val="22"/>
          <w:szCs w:val="22"/>
        </w:rPr>
        <w:t xml:space="preserve">Demonstrate the transfer mechanism’s housing can sustain internal water pressures up to 900 psi. </w:t>
      </w:r>
    </w:p>
    <w:p w14:paraId="43731444" w14:textId="77777777" w:rsidR="00C9232E" w:rsidRPr="00D0206E" w:rsidRDefault="00C9232E" w:rsidP="00C34768">
      <w:pPr>
        <w:pStyle w:val="ListParagraph"/>
        <w:numPr>
          <w:ilvl w:val="0"/>
          <w:numId w:val="11"/>
        </w:numPr>
        <w:rPr>
          <w:color w:val="000000"/>
          <w:sz w:val="22"/>
          <w:szCs w:val="22"/>
        </w:rPr>
      </w:pPr>
      <w:r w:rsidRPr="00D0206E">
        <w:rPr>
          <w:noProof/>
          <w:color w:val="000000"/>
          <w:sz w:val="22"/>
          <w:szCs w:val="22"/>
        </w:rPr>
        <w:t>Demonstrate the transfer mechanism can be primarily driven using existing ships hydraulic system.</w:t>
      </w:r>
    </w:p>
    <w:p w14:paraId="30DD42A1" w14:textId="77777777" w:rsidR="00C9232E" w:rsidRPr="00D0206E" w:rsidRDefault="00C9232E" w:rsidP="00C9232E">
      <w:pPr>
        <w:rPr>
          <w:rFonts w:eastAsia="Times New Roman" w:cs="Times New Roman"/>
          <w:color w:val="000000"/>
          <w:sz w:val="22"/>
        </w:rPr>
      </w:pPr>
    </w:p>
    <w:p w14:paraId="3351F0B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 xml:space="preserve">Conduct a feasibility study and develop concept designs for a BCA transfer mechanism. Identify BCA handling system design specifications that are critical for meeting functional requirements. </w:t>
      </w:r>
      <w:r w:rsidRPr="00D0206E">
        <w:rPr>
          <w:rFonts w:eastAsia="Times New Roman" w:cs="Times New Roman"/>
          <w:noProof/>
          <w:color w:val="000000"/>
          <w:sz w:val="22"/>
        </w:rPr>
        <w:lastRenderedPageBreak/>
        <w:t>Compare and contrast concept designs with the legacy transfer mechanism. Verify through modeling and simulation that the BCA transfer mechanism will enable the deployment, tow, and retirement of the antenna at a range of operating speeds and depth. Define the process for building the antenna transfer mechanism. Develop prototype plans for Phase II.</w:t>
      </w:r>
    </w:p>
    <w:p w14:paraId="698D1265" w14:textId="77777777" w:rsidR="00C9232E" w:rsidRPr="00D0206E" w:rsidRDefault="00C9232E" w:rsidP="00C9232E">
      <w:pPr>
        <w:rPr>
          <w:rFonts w:eastAsia="Times New Roman" w:cs="Times New Roman"/>
          <w:color w:val="000000"/>
          <w:sz w:val="22"/>
        </w:rPr>
      </w:pPr>
    </w:p>
    <w:p w14:paraId="64078C1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or optimize the prototype antenna transfer mechanism identified in Phase I. The final antenna transfer mechanism should meet the functional requirements while staying within the bounds of external requirements such as ship spec requirements, size, etc. Conduct benchtop and land-based tests. Compare simulated results to benchtop and land-based results to demonstrate credibility of the model. Work performed during the Phase II will not be classified, but a DD254 will be required because the performer will need to be able to review classified technical drawings of the current Navy system.</w:t>
      </w:r>
    </w:p>
    <w:p w14:paraId="10959783" w14:textId="77777777" w:rsidR="00C9232E" w:rsidRPr="00D0206E" w:rsidRDefault="00C9232E" w:rsidP="00C9232E">
      <w:pPr>
        <w:rPr>
          <w:rFonts w:eastAsia="Times New Roman" w:cs="Times New Roman"/>
          <w:color w:val="000000"/>
          <w:sz w:val="22"/>
        </w:rPr>
      </w:pPr>
    </w:p>
    <w:p w14:paraId="55E2319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Deliver final BCA transfer mechanism to a Navy facility in sufficient quantity for testing with buoyant cable antenna. Support Government laboratory testing and Environmental Qualification Testing.</w:t>
      </w:r>
    </w:p>
    <w:p w14:paraId="61944B42" w14:textId="77777777" w:rsidR="00C9232E" w:rsidRPr="00D0206E" w:rsidRDefault="00C9232E" w:rsidP="00C9232E">
      <w:pPr>
        <w:rPr>
          <w:rFonts w:eastAsia="Times New Roman" w:cs="Times New Roman"/>
          <w:noProof/>
          <w:color w:val="000000"/>
          <w:sz w:val="22"/>
        </w:rPr>
      </w:pPr>
    </w:p>
    <w:p w14:paraId="11181D0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Commercial uses of this antenna transfer mechanism could include: (1) undersea communications cable deployment/ repair, and (2) undersea oil exploration and related equipment.</w:t>
      </w:r>
    </w:p>
    <w:p w14:paraId="651EB7FC" w14:textId="77777777" w:rsidR="00C9232E" w:rsidRPr="00D0206E" w:rsidRDefault="00C9232E" w:rsidP="00C9232E">
      <w:pPr>
        <w:rPr>
          <w:rFonts w:eastAsia="Times New Roman" w:cs="Times New Roman"/>
          <w:color w:val="000000"/>
          <w:sz w:val="22"/>
        </w:rPr>
      </w:pPr>
    </w:p>
    <w:p w14:paraId="668536F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F9A2AE0" w14:textId="723158C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Rivera, David and Bansal, R. “Towed Antennas for US Submarine Communications: A Historical Perspective.” IEEE, August 2004. </w:t>
      </w:r>
      <w:hyperlink r:id="rId199" w:history="1">
        <w:r w:rsidR="008D4374" w:rsidRPr="007743A7">
          <w:rPr>
            <w:rStyle w:val="Hyperlink"/>
            <w:rFonts w:eastAsia="Times New Roman" w:cs="Times New Roman"/>
            <w:noProof/>
            <w:sz w:val="22"/>
          </w:rPr>
          <w:t>https://ieeexplore.ieee.org/document/1296142</w:t>
        </w:r>
      </w:hyperlink>
      <w:r w:rsidRPr="00D0206E">
        <w:rPr>
          <w:rFonts w:eastAsia="Times New Roman" w:cs="Times New Roman"/>
          <w:noProof/>
          <w:color w:val="000000"/>
          <w:sz w:val="22"/>
        </w:rPr>
        <w:t>.</w:t>
      </w:r>
      <w:r w:rsidR="008D4374">
        <w:rPr>
          <w:rFonts w:eastAsia="Times New Roman" w:cs="Times New Roman"/>
          <w:noProof/>
          <w:color w:val="000000"/>
          <w:sz w:val="22"/>
        </w:rPr>
        <w:t xml:space="preserve"> </w:t>
      </w:r>
    </w:p>
    <w:p w14:paraId="781336A2" w14:textId="77777777" w:rsidR="00E4392E" w:rsidRDefault="00E4392E" w:rsidP="00C9232E">
      <w:pPr>
        <w:rPr>
          <w:rFonts w:eastAsia="Times New Roman" w:cs="Times New Roman"/>
          <w:noProof/>
          <w:color w:val="000000"/>
          <w:sz w:val="22"/>
        </w:rPr>
      </w:pPr>
    </w:p>
    <w:p w14:paraId="786B8CFE" w14:textId="7E7FE24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Rivera, David and Bansal, R. “Submarine Towed Communication Antennas: Past, Present, and Future.” IEEE, August 2002. </w:t>
      </w:r>
      <w:hyperlink r:id="rId200" w:history="1">
        <w:r w:rsidR="008D4374" w:rsidRPr="007743A7">
          <w:rPr>
            <w:rStyle w:val="Hyperlink"/>
            <w:rFonts w:eastAsia="Times New Roman" w:cs="Times New Roman"/>
            <w:noProof/>
            <w:sz w:val="22"/>
          </w:rPr>
          <w:t>https://ieeexplore.ieee.org/document/959753</w:t>
        </w:r>
      </w:hyperlink>
      <w:r w:rsidRPr="00D0206E">
        <w:rPr>
          <w:rFonts w:eastAsia="Times New Roman" w:cs="Times New Roman"/>
          <w:noProof/>
          <w:color w:val="000000"/>
          <w:sz w:val="22"/>
        </w:rPr>
        <w:t>.</w:t>
      </w:r>
      <w:r w:rsidR="008D4374">
        <w:rPr>
          <w:rFonts w:eastAsia="Times New Roman" w:cs="Times New Roman"/>
          <w:noProof/>
          <w:color w:val="000000"/>
          <w:sz w:val="22"/>
        </w:rPr>
        <w:t xml:space="preserve"> </w:t>
      </w:r>
    </w:p>
    <w:p w14:paraId="510CE043" w14:textId="77777777" w:rsidR="00C9232E" w:rsidRPr="00D0206E" w:rsidRDefault="00C9232E" w:rsidP="00C9232E">
      <w:pPr>
        <w:rPr>
          <w:rFonts w:eastAsia="Times New Roman" w:cs="Times New Roman"/>
          <w:color w:val="000000"/>
          <w:sz w:val="22"/>
        </w:rPr>
      </w:pPr>
    </w:p>
    <w:p w14:paraId="76044B1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Antenna Deployment, VLF, VHF, Communications, Stealth, Buoyant Cable Antenna, BCA</w:t>
      </w:r>
    </w:p>
    <w:p w14:paraId="1DC0DE7D" w14:textId="77777777" w:rsidR="00C9232E" w:rsidRPr="00D0206E" w:rsidRDefault="00C9232E" w:rsidP="00C9232E">
      <w:pPr>
        <w:rPr>
          <w:rFonts w:eastAsia="Times New Roman" w:cs="Times New Roman"/>
          <w:color w:val="000000"/>
          <w:sz w:val="22"/>
        </w:rPr>
      </w:pPr>
    </w:p>
    <w:p w14:paraId="5756FA85" w14:textId="77777777" w:rsidR="00C9232E" w:rsidRPr="00D0206E" w:rsidRDefault="00C9232E" w:rsidP="00C9232E">
      <w:pPr>
        <w:tabs>
          <w:tab w:val="left" w:pos="1260"/>
        </w:tabs>
        <w:ind w:left="270"/>
        <w:rPr>
          <w:rFonts w:eastAsia="Times New Roman" w:cs="Times New Roman"/>
          <w:color w:val="000000"/>
          <w:sz w:val="22"/>
        </w:rPr>
      </w:pPr>
    </w:p>
    <w:p w14:paraId="3ED5B056" w14:textId="77777777" w:rsidR="00C9232E" w:rsidRPr="00D0206E" w:rsidRDefault="00C9232E" w:rsidP="00C9232E">
      <w:pPr>
        <w:tabs>
          <w:tab w:val="left" w:pos="1260"/>
        </w:tabs>
        <w:ind w:left="270"/>
        <w:rPr>
          <w:rFonts w:eastAsia="Times New Roman" w:cs="Times New Roman"/>
          <w:color w:val="000000"/>
          <w:sz w:val="22"/>
        </w:rPr>
      </w:pPr>
    </w:p>
    <w:p w14:paraId="26DA9BED" w14:textId="77777777" w:rsidR="00C9232E" w:rsidRPr="00D0206E" w:rsidRDefault="00C9232E" w:rsidP="00C9232E">
      <w:pPr>
        <w:rPr>
          <w:rFonts w:eastAsia="Times New Roman" w:cs="Times New Roman"/>
          <w:color w:val="000000"/>
          <w:sz w:val="22"/>
        </w:rPr>
      </w:pPr>
    </w:p>
    <w:p w14:paraId="2B9C8DEB" w14:textId="77777777" w:rsidR="00C9232E" w:rsidRPr="00D0206E" w:rsidRDefault="00C9232E" w:rsidP="00C9232E">
      <w:pPr>
        <w:rPr>
          <w:rFonts w:eastAsia="Times New Roman" w:cs="Times New Roman"/>
          <w:color w:val="000000"/>
          <w:sz w:val="22"/>
        </w:rPr>
      </w:pPr>
    </w:p>
    <w:p w14:paraId="2FFD3A67"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20B64694"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N202-135</w:t>
      </w:r>
      <w:r w:rsidRPr="00D0206E">
        <w:rPr>
          <w:rFonts w:eastAsia="Times New Roman" w:cs="Times New Roman"/>
          <w:color w:val="000000"/>
          <w:sz w:val="22"/>
        </w:rPr>
        <w:tab/>
        <w:t xml:space="preserve">TITLE: </w:t>
      </w:r>
      <w:r w:rsidRPr="00D0206E">
        <w:rPr>
          <w:rFonts w:eastAsia="Times New Roman" w:cs="Times New Roman"/>
          <w:noProof/>
          <w:color w:val="000000"/>
          <w:sz w:val="22"/>
        </w:rPr>
        <w:t>Model Based Systems Engineering for Tactical Data Link Systems</w:t>
      </w:r>
    </w:p>
    <w:p w14:paraId="0BBE6859" w14:textId="77777777" w:rsidR="00C9232E" w:rsidRPr="00D0206E" w:rsidRDefault="00C9232E" w:rsidP="00C9232E">
      <w:pPr>
        <w:rPr>
          <w:rFonts w:eastAsia="Times New Roman" w:cs="Times New Roman"/>
          <w:color w:val="000000"/>
          <w:sz w:val="22"/>
        </w:rPr>
      </w:pPr>
    </w:p>
    <w:p w14:paraId="22B5C3E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Microelectronics, General Warfighting Requirements (GWR)</w:t>
      </w:r>
    </w:p>
    <w:p w14:paraId="32281BE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Information Systems, Materials, Electronics</w:t>
      </w:r>
    </w:p>
    <w:p w14:paraId="47C42BBD" w14:textId="77777777" w:rsidR="00C9232E" w:rsidRPr="00D0206E" w:rsidRDefault="00C9232E" w:rsidP="00C9232E">
      <w:pPr>
        <w:rPr>
          <w:rFonts w:eastAsia="Times New Roman" w:cs="Times New Roman"/>
          <w:noProof/>
          <w:color w:val="000000"/>
          <w:sz w:val="22"/>
        </w:rPr>
      </w:pPr>
    </w:p>
    <w:p w14:paraId="4BCEC6E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6B2670F" w14:textId="77777777" w:rsidR="00C9232E" w:rsidRPr="00D0206E" w:rsidRDefault="00C9232E" w:rsidP="00C9232E">
      <w:pPr>
        <w:rPr>
          <w:rFonts w:eastAsia="Times New Roman" w:cs="Times New Roman"/>
          <w:color w:val="000000"/>
          <w:sz w:val="22"/>
        </w:rPr>
      </w:pPr>
    </w:p>
    <w:p w14:paraId="1528990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and demonstrate ability to identify, aggregate, and analyze distinct data types and formats to enhance the decision-making process during the technology assessment and trade-offs, design, development, testing, and qualification phases of tactical data link systems using Model Based Systems Engineering (MBSE).</w:t>
      </w:r>
    </w:p>
    <w:p w14:paraId="518418BB" w14:textId="77777777" w:rsidR="00C9232E" w:rsidRPr="00D0206E" w:rsidRDefault="00C9232E" w:rsidP="00C9232E">
      <w:pPr>
        <w:rPr>
          <w:rFonts w:eastAsia="Times New Roman" w:cs="Times New Roman"/>
          <w:color w:val="000000"/>
          <w:sz w:val="22"/>
        </w:rPr>
      </w:pPr>
    </w:p>
    <w:p w14:paraId="53B5A0B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 goal of this SBIR topic is to develop a Systems Modeling Language (SysML) digital twin system model of the Multi-Functional Information Distribution System (MIDS) Joint Tactical Radio System (JTRS) terminal configurations. The MIDS Program Office (MPO) is interested in significantly improving and expanding its engineering support infrastructure to enable deployment of more efficient, agile, and resilient tactical data links systems models to expedite capability to the fleet. The MPO intends to implement a Model-Based System Engineering approach for all engineering activities that uses models as an integral part of the technical baseline including requirements generation and validation, analysis, technology trade-offs, design,  implementation, and verification of a capability, system,  product and/or technology throughout the acquisition lifecycle. A model-based system will enable unprecedented levels of systems understanding that can be achieved through integrated analytics, tied to a model-centric technical baseline and will support new DoD acquisition initiatives to expedite warfighting capabilities to the fleet [Refs 1, 2, 3].</w:t>
      </w:r>
    </w:p>
    <w:p w14:paraId="79E26935" w14:textId="77777777" w:rsidR="00C9232E" w:rsidRPr="00D0206E" w:rsidRDefault="00C9232E" w:rsidP="00C9232E">
      <w:pPr>
        <w:rPr>
          <w:rFonts w:eastAsia="Times New Roman" w:cs="Times New Roman"/>
          <w:noProof/>
          <w:color w:val="000000"/>
          <w:sz w:val="22"/>
        </w:rPr>
      </w:pPr>
    </w:p>
    <w:p w14:paraId="7DEB1E5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Implementing this type of capability would expedite correlation of relevant technical data, software, information, knowledge and technology trade-offs to enhance tactical data link development. This environment would provide substantial acceleration of development of solutions and technology transition resulting in reduced time and significant cost reduction of critical capabilities to the warfighter. </w:t>
      </w:r>
    </w:p>
    <w:p w14:paraId="3FF72A99" w14:textId="77777777" w:rsidR="00C9232E" w:rsidRPr="00D0206E" w:rsidRDefault="00C9232E" w:rsidP="00C9232E">
      <w:pPr>
        <w:rPr>
          <w:rFonts w:eastAsia="Times New Roman" w:cs="Times New Roman"/>
          <w:noProof/>
          <w:color w:val="000000"/>
          <w:sz w:val="22"/>
        </w:rPr>
      </w:pPr>
    </w:p>
    <w:p w14:paraId="0829FE56"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will likely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 NAVWAR will process the DD254 to support the contractor for personnel and facility certification for secure access.</w:t>
      </w:r>
    </w:p>
    <w:p w14:paraId="4E0ED90C" w14:textId="77777777" w:rsidR="00C9232E" w:rsidRPr="00D0206E" w:rsidRDefault="00C9232E" w:rsidP="00C9232E">
      <w:pPr>
        <w:rPr>
          <w:rFonts w:eastAsia="Times New Roman" w:cs="Times New Roman"/>
          <w:color w:val="000000"/>
          <w:sz w:val="22"/>
        </w:rPr>
      </w:pPr>
    </w:p>
    <w:p w14:paraId="2AA976D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 xml:space="preserve">Define solution(s) to develop digital twin system model of the MIDS JTRS terminal configuration. Outline model elements, including characterizing behavior, structure, requirements, and </w:t>
      </w:r>
      <w:r w:rsidRPr="00D0206E">
        <w:rPr>
          <w:rFonts w:eastAsia="Times New Roman" w:cs="Times New Roman"/>
          <w:noProof/>
          <w:color w:val="000000"/>
          <w:sz w:val="22"/>
        </w:rPr>
        <w:lastRenderedPageBreak/>
        <w:t>parametrics, that further refine trades in developing tactical data link systems. Solution must specify data storage and computational requirements and will identify existing DoD capabilities that may contribute to the desired end-state capability, identify capability gaps and establish a methodology to deliver needed capability. Information absorption and temporal requirements will be baselined during Phase I. Propose model simulations are strongly encouraged and could take several forms such as augmentations/plug-ins to existing SySML tools. Partnership with MIDS prime vendors is encouraged to help understanding of MIDS design and potential models they use. Partnership with NAVWAR 5.0 Digital Engineering Transformation Division is encouraged. Phase I will be UNCLASSIFIED, and the contractor will not require access to any classified data. Develop a Phase II plan.</w:t>
      </w:r>
    </w:p>
    <w:p w14:paraId="42416CB3" w14:textId="77777777" w:rsidR="00C9232E" w:rsidRPr="00D0206E" w:rsidRDefault="00C9232E" w:rsidP="00C9232E">
      <w:pPr>
        <w:rPr>
          <w:rFonts w:eastAsia="Times New Roman" w:cs="Times New Roman"/>
          <w:color w:val="000000"/>
          <w:sz w:val="22"/>
        </w:rPr>
      </w:pPr>
    </w:p>
    <w:p w14:paraId="62F3F142"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a prototype model based on the learning of Phase I effort. Validate and demonstrate the proposed data analytic capability leveraging existing DoD tactical data link infrastructure. Demonstrate the prototype system using MBSE tools identified in Phase I. Include, at a minimum, demonstration of a prototype tool or methodology on a small system(s) application that is representative of a portion of the tactical data link infrastructure, and documentation describing anticipated use of the tool. Ensure model adherence to SysML and Unified Architecture Framework (UAF) specifications, as well as eXtensible Markup Language (XML) Metadata Interchange (XMI) Standard, is desired. Endstate should ensure model can be used to inform tactical data link analysis including (but not limited to) requirements, impact, trade-off, behavior, interoperability or data flow.</w:t>
      </w:r>
    </w:p>
    <w:p w14:paraId="437B4FD6" w14:textId="77777777" w:rsidR="00C9232E" w:rsidRPr="00D0206E" w:rsidRDefault="00C9232E" w:rsidP="00C9232E">
      <w:pPr>
        <w:rPr>
          <w:rFonts w:eastAsia="Times New Roman" w:cs="Times New Roman"/>
          <w:noProof/>
          <w:color w:val="000000"/>
          <w:sz w:val="22"/>
        </w:rPr>
      </w:pPr>
    </w:p>
    <w:p w14:paraId="6CB29CEE"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expected TRL for this project is 5 to 6. Partnership with MIDS prime vendors is encouraged, but not required. Partnership with NAVWAR 5.0 Digital Engineering Transformation Division is encouraged. </w:t>
      </w:r>
    </w:p>
    <w:p w14:paraId="1B3B4EA6"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likely that the work under this Phase II effort will be classified (see Description section for details). Though Phase II work may become classified, the proposal for Phase II work will be UNCLASSIFIED. If the selected Phase II contractor does not have the required certification for classified work, the related DON program office will work with the contractor to facilitate certification of related personnel and facility.</w:t>
      </w:r>
    </w:p>
    <w:p w14:paraId="4D44F744" w14:textId="77777777" w:rsidR="00C9232E" w:rsidRPr="00D0206E" w:rsidRDefault="00C9232E" w:rsidP="00C9232E">
      <w:pPr>
        <w:rPr>
          <w:rFonts w:eastAsia="Times New Roman" w:cs="Times New Roman"/>
          <w:color w:val="000000"/>
          <w:sz w:val="22"/>
        </w:rPr>
      </w:pPr>
    </w:p>
    <w:p w14:paraId="69CED80C"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Mature the model and extend use to multiple data link centric platforms within the Navy and private sector. Support or license the final product (s) and transition to the Government. The technology will have application throughout government and industry. Performers from component developers (e.g., Intel, Texas Instrument, etc.) to system integrators (e.g., LM, Boeing, BAE, etc.) could use these models to reduce costs in data link development. Partnership with prime vendors is encouraged, but not required. Navy seeks selected vendor to support transitioning of MBSE solution(s) across the Services.</w:t>
      </w:r>
    </w:p>
    <w:p w14:paraId="3F43373A" w14:textId="77777777" w:rsidR="00C9232E" w:rsidRPr="00D0206E" w:rsidRDefault="00C9232E" w:rsidP="00C9232E">
      <w:pPr>
        <w:rPr>
          <w:rFonts w:eastAsia="Times New Roman" w:cs="Times New Roman"/>
          <w:color w:val="000000"/>
          <w:sz w:val="22"/>
        </w:rPr>
      </w:pPr>
    </w:p>
    <w:p w14:paraId="10AA710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75BE1165" w14:textId="669151E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Shortell, Thomas M., editor. “INCOSE Systems Engineering Handbook: A Guide for System Life Cycle Processes and Activities 4th Ed.”</w:t>
      </w:r>
      <w:r w:rsidR="002F21A9">
        <w:rPr>
          <w:rFonts w:eastAsia="Times New Roman" w:cs="Times New Roman"/>
          <w:noProof/>
          <w:color w:val="000000"/>
          <w:sz w:val="22"/>
        </w:rPr>
        <w:t xml:space="preserve"> </w:t>
      </w:r>
    </w:p>
    <w:p w14:paraId="3666ED02" w14:textId="77777777" w:rsidR="00820C88" w:rsidRDefault="00820C88" w:rsidP="00C9232E">
      <w:pPr>
        <w:rPr>
          <w:rFonts w:eastAsia="Times New Roman" w:cs="Times New Roman"/>
          <w:noProof/>
          <w:color w:val="000000"/>
          <w:sz w:val="22"/>
        </w:rPr>
      </w:pPr>
    </w:p>
    <w:p w14:paraId="17AE4E53" w14:textId="2BB1FF0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Office of the Deputy Assistant Secretary of Defense for Systems Engineering. “Best Practices for Using Systems Engineering Standards on Contracts for DoD Acquisition Programs.” April 2017. </w:t>
      </w:r>
      <w:hyperlink r:id="rId201" w:history="1">
        <w:r w:rsidR="002F21A9" w:rsidRPr="007743A7">
          <w:rPr>
            <w:rStyle w:val="Hyperlink"/>
            <w:rFonts w:eastAsia="Times New Roman" w:cs="Times New Roman"/>
            <w:noProof/>
            <w:sz w:val="22"/>
          </w:rPr>
          <w:t>http://acqnotes.com/wp-content/uploads/2014/09/OSD-Guide-to-Best-Practices-Using-Engineering-Standards-2017.pdf</w:t>
        </w:r>
      </w:hyperlink>
      <w:r w:rsidR="002F21A9">
        <w:rPr>
          <w:rFonts w:eastAsia="Times New Roman" w:cs="Times New Roman"/>
          <w:noProof/>
          <w:color w:val="000000"/>
          <w:sz w:val="22"/>
        </w:rPr>
        <w:t xml:space="preserve"> </w:t>
      </w:r>
    </w:p>
    <w:p w14:paraId="6AC0AA84" w14:textId="77777777" w:rsidR="00820C88" w:rsidRDefault="00820C88" w:rsidP="00C9232E">
      <w:pPr>
        <w:rPr>
          <w:rFonts w:eastAsia="Times New Roman" w:cs="Times New Roman"/>
          <w:noProof/>
          <w:color w:val="000000"/>
          <w:sz w:val="22"/>
        </w:rPr>
      </w:pPr>
    </w:p>
    <w:p w14:paraId="14FF78BB" w14:textId="2B8B860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Kobryn, P., Tuegel, E., Zweber, J., and Kolonay, R. “Digital Thread and Twin for Systems Engineering: EMD to Disposal.” 55th AIAA Aerospace Sciences Meeting, 9-13 January 2017, p. 11. https://arc.aiaa.org/doi/abs/10.2514/6.2017-08764. Wang, Gang, et al. "Big data analytics in logistics and supply chain management: Certain investigations for research and applications." International Journal of Production Economics 176, 2016, pp, 98-110. </w:t>
      </w:r>
      <w:hyperlink r:id="rId202" w:history="1">
        <w:r w:rsidR="002F21A9" w:rsidRPr="007743A7">
          <w:rPr>
            <w:rStyle w:val="Hyperlink"/>
            <w:rFonts w:eastAsia="Times New Roman" w:cs="Times New Roman"/>
            <w:noProof/>
            <w:sz w:val="22"/>
          </w:rPr>
          <w:t>https://ideas.repec.org/a/eee/proeco/v176y2016icp98-110.html</w:t>
        </w:r>
      </w:hyperlink>
      <w:r w:rsidR="002F21A9">
        <w:rPr>
          <w:rFonts w:eastAsia="Times New Roman" w:cs="Times New Roman"/>
          <w:noProof/>
          <w:color w:val="000000"/>
          <w:sz w:val="22"/>
        </w:rPr>
        <w:t xml:space="preserve"> </w:t>
      </w:r>
    </w:p>
    <w:p w14:paraId="27C768B7" w14:textId="77777777" w:rsidR="00C9232E" w:rsidRPr="00D0206E" w:rsidRDefault="00C9232E" w:rsidP="00C9232E">
      <w:pPr>
        <w:rPr>
          <w:rFonts w:eastAsia="Times New Roman" w:cs="Times New Roman"/>
          <w:color w:val="000000"/>
          <w:sz w:val="22"/>
        </w:rPr>
      </w:pPr>
    </w:p>
    <w:p w14:paraId="2808F299"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Model Based Systems Engineering, MBSE, SysML, Digital Twin, Tactical Data Links, MIDS, XMI</w:t>
      </w:r>
    </w:p>
    <w:p w14:paraId="7A4FA14F" w14:textId="77777777" w:rsidR="00C9232E" w:rsidRPr="00D0206E" w:rsidRDefault="00C9232E" w:rsidP="00C9232E">
      <w:pPr>
        <w:rPr>
          <w:rFonts w:eastAsia="Times New Roman" w:cs="Times New Roman"/>
          <w:color w:val="000000"/>
          <w:sz w:val="22"/>
        </w:rPr>
      </w:pPr>
    </w:p>
    <w:p w14:paraId="0C2FA14C" w14:textId="77777777" w:rsidR="00C9232E" w:rsidRPr="00D0206E" w:rsidRDefault="00C9232E" w:rsidP="00C9232E">
      <w:pPr>
        <w:tabs>
          <w:tab w:val="left" w:pos="1260"/>
        </w:tabs>
        <w:ind w:left="270"/>
        <w:rPr>
          <w:rFonts w:eastAsia="Times New Roman" w:cs="Times New Roman"/>
          <w:color w:val="000000"/>
          <w:sz w:val="22"/>
        </w:rPr>
      </w:pPr>
    </w:p>
    <w:p w14:paraId="1A4B8793" w14:textId="77777777" w:rsidR="00C9232E" w:rsidRPr="00D0206E" w:rsidRDefault="00C9232E" w:rsidP="00C9232E">
      <w:pPr>
        <w:tabs>
          <w:tab w:val="left" w:pos="1260"/>
        </w:tabs>
        <w:ind w:left="270"/>
        <w:rPr>
          <w:rFonts w:eastAsia="Times New Roman" w:cs="Times New Roman"/>
          <w:color w:val="000000"/>
          <w:sz w:val="22"/>
        </w:rPr>
      </w:pPr>
    </w:p>
    <w:p w14:paraId="5E9CD743" w14:textId="77777777" w:rsidR="00C9232E" w:rsidRPr="00D0206E" w:rsidRDefault="00C9232E" w:rsidP="00C9232E">
      <w:pPr>
        <w:tabs>
          <w:tab w:val="left" w:pos="1260"/>
        </w:tabs>
        <w:ind w:left="270"/>
        <w:rPr>
          <w:rFonts w:eastAsia="Times New Roman" w:cs="Times New Roman"/>
          <w:color w:val="000000"/>
          <w:sz w:val="22"/>
        </w:rPr>
      </w:pPr>
    </w:p>
    <w:p w14:paraId="41FAFC68" w14:textId="77777777" w:rsidR="00C9232E" w:rsidRPr="00D0206E" w:rsidRDefault="00C9232E" w:rsidP="00C9232E">
      <w:pPr>
        <w:rPr>
          <w:rFonts w:eastAsia="Times New Roman" w:cs="Times New Roman"/>
          <w:color w:val="000000"/>
          <w:sz w:val="22"/>
        </w:rPr>
      </w:pPr>
    </w:p>
    <w:p w14:paraId="54B1FE2B" w14:textId="77777777" w:rsidR="00C9232E" w:rsidRPr="00D0206E" w:rsidRDefault="00C9232E" w:rsidP="00C9232E">
      <w:pPr>
        <w:rPr>
          <w:rFonts w:eastAsia="Times New Roman" w:cs="Times New Roman"/>
          <w:color w:val="000000"/>
          <w:sz w:val="22"/>
        </w:rPr>
      </w:pPr>
    </w:p>
    <w:p w14:paraId="4B709009"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4A8A9B51" w14:textId="6E6E07D5" w:rsidR="00C9232E" w:rsidRPr="00D0206E" w:rsidRDefault="008B2884" w:rsidP="00C9232E">
      <w:pPr>
        <w:tabs>
          <w:tab w:val="left" w:pos="1260"/>
        </w:tabs>
        <w:ind w:left="270"/>
        <w:rPr>
          <w:rFonts w:eastAsia="Times New Roman" w:cs="Times New Roman"/>
          <w:color w:val="000000"/>
          <w:sz w:val="22"/>
        </w:rPr>
      </w:pPr>
      <w:r w:rsidRPr="008B2884">
        <w:rPr>
          <w:rFonts w:eastAsia="Times New Roman" w:cs="Times New Roman"/>
          <w:noProof/>
          <w:color w:val="000000"/>
          <w:sz w:val="22"/>
        </w:rPr>
        <w:lastRenderedPageBreak/>
        <w:t>N202-136</w:t>
      </w:r>
      <w:r w:rsidRPr="008B2884">
        <w:rPr>
          <w:rFonts w:eastAsia="Times New Roman" w:cs="Times New Roman"/>
          <w:noProof/>
          <w:color w:val="000000"/>
          <w:sz w:val="22"/>
        </w:rPr>
        <w:tab/>
        <w:t>[Navy has removed topic N202-136 from the 20.2 SBIR BAA]</w:t>
      </w:r>
    </w:p>
    <w:p w14:paraId="42753F4D" w14:textId="77777777" w:rsidR="00C9232E" w:rsidRPr="00D0206E" w:rsidRDefault="00C9232E" w:rsidP="00C9232E">
      <w:pPr>
        <w:tabs>
          <w:tab w:val="left" w:pos="1260"/>
        </w:tabs>
        <w:ind w:left="270"/>
        <w:rPr>
          <w:rFonts w:eastAsia="Times New Roman" w:cs="Times New Roman"/>
          <w:color w:val="000000"/>
          <w:sz w:val="22"/>
        </w:rPr>
      </w:pPr>
    </w:p>
    <w:p w14:paraId="270A54C0" w14:textId="77777777" w:rsidR="00C9232E" w:rsidRPr="00D0206E" w:rsidRDefault="00C9232E" w:rsidP="00C9232E">
      <w:pPr>
        <w:tabs>
          <w:tab w:val="left" w:pos="1260"/>
        </w:tabs>
        <w:ind w:left="270"/>
        <w:rPr>
          <w:rFonts w:eastAsia="Times New Roman" w:cs="Times New Roman"/>
          <w:color w:val="000000"/>
          <w:sz w:val="22"/>
        </w:rPr>
      </w:pPr>
    </w:p>
    <w:p w14:paraId="5262132E" w14:textId="77777777" w:rsidR="00C9232E" w:rsidRPr="00D0206E" w:rsidRDefault="00C9232E" w:rsidP="00C9232E">
      <w:pPr>
        <w:tabs>
          <w:tab w:val="left" w:pos="1260"/>
        </w:tabs>
        <w:ind w:left="270"/>
        <w:rPr>
          <w:rFonts w:eastAsia="Times New Roman" w:cs="Times New Roman"/>
          <w:color w:val="000000"/>
          <w:sz w:val="22"/>
        </w:rPr>
      </w:pPr>
    </w:p>
    <w:p w14:paraId="1786A5DA" w14:textId="77777777" w:rsidR="00C9232E" w:rsidRPr="00D0206E" w:rsidRDefault="00C9232E" w:rsidP="00C9232E">
      <w:pPr>
        <w:rPr>
          <w:rFonts w:eastAsia="Times New Roman" w:cs="Times New Roman"/>
          <w:color w:val="000000"/>
          <w:sz w:val="22"/>
        </w:rPr>
      </w:pPr>
    </w:p>
    <w:p w14:paraId="23956361" w14:textId="77777777" w:rsidR="00C9232E" w:rsidRPr="00D0206E" w:rsidRDefault="00C9232E" w:rsidP="00C9232E">
      <w:pPr>
        <w:rPr>
          <w:rFonts w:eastAsia="Times New Roman" w:cs="Times New Roman"/>
          <w:color w:val="000000"/>
          <w:sz w:val="22"/>
        </w:rPr>
      </w:pPr>
    </w:p>
    <w:p w14:paraId="35124925"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198CE02B"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N202-137</w:t>
      </w:r>
      <w:r w:rsidRPr="00D0206E">
        <w:rPr>
          <w:rFonts w:eastAsia="Times New Roman" w:cs="Times New Roman"/>
          <w:color w:val="000000"/>
          <w:sz w:val="22"/>
        </w:rPr>
        <w:tab/>
        <w:t xml:space="preserve">TITLE: </w:t>
      </w:r>
      <w:r w:rsidRPr="00D0206E">
        <w:rPr>
          <w:rFonts w:eastAsia="Times New Roman" w:cs="Times New Roman"/>
          <w:noProof/>
          <w:color w:val="000000"/>
          <w:sz w:val="22"/>
        </w:rPr>
        <w:t>Sensor Embedding Procedures in Candidate Hypersonic Material Specimens</w:t>
      </w:r>
    </w:p>
    <w:p w14:paraId="4C808F49" w14:textId="77777777" w:rsidR="00C9232E" w:rsidRPr="00D0206E" w:rsidRDefault="00C9232E" w:rsidP="00C9232E">
      <w:pPr>
        <w:rPr>
          <w:rFonts w:eastAsia="Times New Roman" w:cs="Times New Roman"/>
          <w:color w:val="000000"/>
          <w:sz w:val="22"/>
        </w:rPr>
      </w:pPr>
    </w:p>
    <w:p w14:paraId="7B05D02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290FC3A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w:t>
      </w:r>
    </w:p>
    <w:p w14:paraId="5CD0F8BD" w14:textId="77777777" w:rsidR="00C9232E" w:rsidRPr="00D0206E" w:rsidRDefault="00C9232E" w:rsidP="00C9232E">
      <w:pPr>
        <w:rPr>
          <w:rFonts w:eastAsia="Times New Roman" w:cs="Times New Roman"/>
          <w:color w:val="000000"/>
          <w:sz w:val="22"/>
        </w:rPr>
      </w:pPr>
    </w:p>
    <w:p w14:paraId="57E3512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6AD7E51" w14:textId="77777777" w:rsidR="00C9232E" w:rsidRPr="00D0206E" w:rsidRDefault="00C9232E" w:rsidP="00C9232E">
      <w:pPr>
        <w:rPr>
          <w:rFonts w:eastAsia="Times New Roman" w:cs="Times New Roman"/>
          <w:color w:val="000000"/>
          <w:sz w:val="22"/>
        </w:rPr>
      </w:pPr>
    </w:p>
    <w:p w14:paraId="08D3BCE6"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noncontact measurement techniques, or sensor embedding procedures in candidate hypersonic material specimens whose size scale is on the order of millimeters, and high throughput (100s of test per day) measurement protocols under candidate hypersonic ablative shock boundary conditions.</w:t>
      </w:r>
    </w:p>
    <w:p w14:paraId="3E02845E" w14:textId="77777777" w:rsidR="00C9232E" w:rsidRPr="00D0206E" w:rsidRDefault="00C9232E" w:rsidP="00C9232E">
      <w:pPr>
        <w:rPr>
          <w:rFonts w:eastAsia="Times New Roman" w:cs="Times New Roman"/>
          <w:color w:val="000000"/>
          <w:sz w:val="22"/>
        </w:rPr>
      </w:pPr>
    </w:p>
    <w:p w14:paraId="019CE89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Hypersonic materials operate in extreme environments of pressure and temperature. Design of new materials and structures for hypersonic applications, as well as testing of existing materials and structures requires detailed examination of critical feature effects as a function of environmental variables. Per test cost for current materials runs into millions, with throughputs of approximately 5-10 specimen per day (e.g., Arc Jet tests). Such large-scale tests also fail to capture the effect of material specific, small scale features.  Having a capability to understand/examine key feature effects as a function of these extreme environments utilizing extremely low volume sample sizes would allow for high throughput material testing (~300 tests per day) at low cost enabling more rapid material development. This research will increase mission capability and performance, while decreasing lifecycle costs by allowing for accurate and rapid evaluation of new and existing hypersonic/extreme environment materials and designs.</w:t>
      </w:r>
    </w:p>
    <w:p w14:paraId="7B928AB1" w14:textId="77777777" w:rsidR="00C9232E" w:rsidRPr="00D0206E" w:rsidRDefault="00C9232E" w:rsidP="00C9232E">
      <w:pPr>
        <w:rPr>
          <w:rFonts w:eastAsia="Times New Roman" w:cs="Times New Roman"/>
          <w:noProof/>
          <w:color w:val="000000"/>
          <w:sz w:val="22"/>
        </w:rPr>
      </w:pPr>
    </w:p>
    <w:p w14:paraId="3FDF92D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desired outcome of this work is the development of a system to measure material surface pressure, stress, and temperature under shock loading and at laser ablation temperatures to examine effectiveness of hypersonic materials under realistic plasma, flow, and thermal shock conditions with micrometer scale resolution. This can be accomplished via noncontact or embedded, preferably passive, sensors embedded in hypersonic materials to predict material surface pressure in realistic flight conditions. The developed system must have a robust calibration technique and small scale spatial and temporal resolution, preferably down to the micrometer and microsecond scale. Ultimately, the sensors and materials to be examined must be evaluated in realistic flow conditions.</w:t>
      </w:r>
    </w:p>
    <w:p w14:paraId="7F117F72" w14:textId="77777777" w:rsidR="00C9232E" w:rsidRPr="00D0206E" w:rsidRDefault="00C9232E" w:rsidP="00C9232E">
      <w:pPr>
        <w:rPr>
          <w:rFonts w:eastAsia="Times New Roman" w:cs="Times New Roman"/>
          <w:noProof/>
          <w:color w:val="000000"/>
          <w:sz w:val="22"/>
        </w:rPr>
      </w:pPr>
    </w:p>
    <w:p w14:paraId="5D5338D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The outcomes of the proposed work are: </w:t>
      </w:r>
    </w:p>
    <w:p w14:paraId="5CB876D5" w14:textId="77777777" w:rsidR="00C9232E" w:rsidRPr="00D0206E" w:rsidRDefault="00C9232E" w:rsidP="00C34768">
      <w:pPr>
        <w:pStyle w:val="ListParagraph"/>
        <w:numPr>
          <w:ilvl w:val="0"/>
          <w:numId w:val="24"/>
        </w:numPr>
        <w:rPr>
          <w:noProof/>
          <w:color w:val="000000"/>
          <w:sz w:val="22"/>
          <w:szCs w:val="22"/>
        </w:rPr>
      </w:pPr>
      <w:r w:rsidRPr="00D0206E">
        <w:rPr>
          <w:noProof/>
          <w:color w:val="000000"/>
          <w:sz w:val="22"/>
          <w:szCs w:val="22"/>
        </w:rPr>
        <w:t xml:space="preserve">Non-contact or passive (wireless) embedded sensors, which are inexpensive for remote monitoring of surface pressure, temperature, and stress in hypersonic materials subjected to realistic flow conditions; </w:t>
      </w:r>
    </w:p>
    <w:p w14:paraId="2BB3A458" w14:textId="77777777" w:rsidR="00C9232E" w:rsidRPr="00D0206E" w:rsidRDefault="00C9232E" w:rsidP="00C34768">
      <w:pPr>
        <w:pStyle w:val="ListParagraph"/>
        <w:numPr>
          <w:ilvl w:val="0"/>
          <w:numId w:val="24"/>
        </w:numPr>
        <w:rPr>
          <w:noProof/>
          <w:color w:val="000000"/>
          <w:sz w:val="22"/>
          <w:szCs w:val="22"/>
        </w:rPr>
      </w:pPr>
      <w:r w:rsidRPr="00D0206E">
        <w:rPr>
          <w:noProof/>
          <w:color w:val="000000"/>
          <w:sz w:val="22"/>
          <w:szCs w:val="22"/>
        </w:rPr>
        <w:t xml:space="preserve">Calibration of sensors for predicting surface pressure during in-situ measurements; and </w:t>
      </w:r>
    </w:p>
    <w:p w14:paraId="25B48B14" w14:textId="77777777" w:rsidR="00C9232E" w:rsidRPr="00D0206E" w:rsidRDefault="00C9232E" w:rsidP="00C34768">
      <w:pPr>
        <w:pStyle w:val="ListParagraph"/>
        <w:numPr>
          <w:ilvl w:val="0"/>
          <w:numId w:val="24"/>
        </w:numPr>
        <w:rPr>
          <w:noProof/>
          <w:color w:val="000000"/>
          <w:sz w:val="22"/>
          <w:szCs w:val="22"/>
        </w:rPr>
      </w:pPr>
      <w:r w:rsidRPr="00D0206E">
        <w:rPr>
          <w:noProof/>
          <w:color w:val="000000"/>
          <w:sz w:val="22"/>
          <w:szCs w:val="22"/>
        </w:rPr>
        <w:t>Wind-tunnel measurements to put calibrated sensors in realistic flow conditions for evaluating sensor performance at various flow conditions that are appropriate to the hypersonic regime.</w:t>
      </w:r>
    </w:p>
    <w:p w14:paraId="1A484035" w14:textId="77777777" w:rsidR="00C9232E" w:rsidRPr="00D0206E" w:rsidRDefault="00C9232E" w:rsidP="00C9232E">
      <w:pPr>
        <w:rPr>
          <w:rFonts w:eastAsia="Times New Roman" w:cs="Times New Roman"/>
          <w:noProof/>
          <w:color w:val="000000"/>
          <w:sz w:val="22"/>
        </w:rPr>
      </w:pPr>
    </w:p>
    <w:p w14:paraId="60D3DEBC"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D0206E">
        <w:rPr>
          <w:rFonts w:eastAsia="Times New Roman" w:cs="Times New Roman"/>
          <w:noProof/>
          <w:color w:val="000000"/>
          <w:sz w:val="22"/>
        </w:rPr>
        <w:lastRenderedPageBreak/>
        <w:t>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B14B5F4" w14:textId="77777777" w:rsidR="00C9232E" w:rsidRPr="00D0206E" w:rsidRDefault="00C9232E" w:rsidP="00C9232E">
      <w:pPr>
        <w:rPr>
          <w:rFonts w:eastAsia="Times New Roman" w:cs="Times New Roman"/>
          <w:color w:val="000000"/>
          <w:sz w:val="22"/>
        </w:rPr>
      </w:pPr>
    </w:p>
    <w:p w14:paraId="24951B7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Conduct a feasibility study, focusing on non-contact and/or embedded passive sensors. Demonstrate proof of concept of the measurement system in a laboratory environment using laser ablation or other means of generating representative temperatures, stress, etc. High throughput capability should be demonstrated (order of magnitude increase over state-of-the-art) with a clear path to increase the number of tests per day by approximately two orders of magnitude over the current state-of-the-art, while also demonstrating the improved spatial and temporal measurement resolution. The Phase I Option, if exercised, will include the initial design specifications and capabilities description to build a prototype solution in Phase II. Prepare a Phase II plan.</w:t>
      </w:r>
    </w:p>
    <w:p w14:paraId="074ABB09" w14:textId="77777777" w:rsidR="00C9232E" w:rsidRPr="00D0206E" w:rsidRDefault="00C9232E" w:rsidP="00C9232E">
      <w:pPr>
        <w:rPr>
          <w:rFonts w:eastAsia="Times New Roman" w:cs="Times New Roman"/>
          <w:color w:val="000000"/>
          <w:sz w:val="22"/>
        </w:rPr>
      </w:pPr>
    </w:p>
    <w:p w14:paraId="58F5FAD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Produce a prototype system capable of high throughput (approximately two orders of magnitude increase over current state of the art) measurements, which is achieved via a non-contact or embedded passive sensor array, including improved spatial and temporal resolution. Demonstrate the prototype in a hypersonic flow environment. Correlate the results with current state-of-the-art test results. Prepare a Phase III development plan to transition the technology for Navy use and potential commercial use.   </w:t>
      </w:r>
    </w:p>
    <w:p w14:paraId="6FA5219C" w14:textId="77777777" w:rsidR="00C9232E" w:rsidRPr="00D0206E" w:rsidRDefault="00C9232E" w:rsidP="00C9232E">
      <w:pPr>
        <w:rPr>
          <w:rFonts w:eastAsia="Times New Roman" w:cs="Times New Roman"/>
          <w:noProof/>
          <w:color w:val="000000"/>
          <w:sz w:val="22"/>
        </w:rPr>
      </w:pPr>
    </w:p>
    <w:p w14:paraId="2D074227"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0A819BFA" w14:textId="77777777" w:rsidR="00C9232E" w:rsidRPr="00D0206E" w:rsidRDefault="00C9232E" w:rsidP="00C9232E">
      <w:pPr>
        <w:rPr>
          <w:rFonts w:eastAsia="Times New Roman" w:cs="Times New Roman"/>
          <w:color w:val="000000"/>
          <w:sz w:val="22"/>
        </w:rPr>
      </w:pPr>
    </w:p>
    <w:p w14:paraId="2949761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High throughput, high fidelity testing of high temperature materials will allow for materials and structures to be evaluated more rapidly and at lower cost. Other systems, such as those associated with space propulsion could benefit from this type of high throughput testing.</w:t>
      </w:r>
    </w:p>
    <w:p w14:paraId="02438FD9" w14:textId="77777777" w:rsidR="00C9232E" w:rsidRPr="00D0206E" w:rsidRDefault="00C9232E" w:rsidP="00C9232E">
      <w:pPr>
        <w:rPr>
          <w:rFonts w:eastAsia="Times New Roman" w:cs="Times New Roman"/>
          <w:color w:val="000000"/>
          <w:sz w:val="22"/>
        </w:rPr>
      </w:pPr>
    </w:p>
    <w:p w14:paraId="74F21C3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0732815F" w14:textId="2BA112C4"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1. Olokun, T., Prakash, C., Men, Z., Dlott, DD, and Tomar, V. “Examination of Local Microscale-Microsecond Temperature Rise in HMX-HTPB Energetic Material Under Impact Loading.” JOM, October 2019, Volume 71, Issue 10, pp. 3531-3535. DOI: 10.1007/s11837-019-03709-z</w:t>
      </w:r>
      <w:r w:rsidR="002F21A9">
        <w:rPr>
          <w:rFonts w:eastAsia="Times New Roman" w:cs="Times New Roman"/>
          <w:noProof/>
          <w:color w:val="000000"/>
          <w:sz w:val="22"/>
        </w:rPr>
        <w:t xml:space="preserve"> </w:t>
      </w:r>
    </w:p>
    <w:p w14:paraId="1A8E2731" w14:textId="77777777" w:rsidR="00820C88" w:rsidRDefault="00820C88" w:rsidP="00C9232E">
      <w:pPr>
        <w:rPr>
          <w:rFonts w:eastAsia="Times New Roman" w:cs="Times New Roman"/>
          <w:noProof/>
          <w:color w:val="000000"/>
          <w:sz w:val="22"/>
        </w:rPr>
      </w:pPr>
    </w:p>
    <w:p w14:paraId="3799D3E2" w14:textId="2B565FA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Dhiman, A., Sharma, A., Shashurin, A., and Tomar, V. “Strontium Titanate Composites for Microwave-Based Stress Sensing.” The Journal of the Metals, Minerals, and Materials Society, Vol 70(9), pp. 1811-1815. </w:t>
      </w:r>
      <w:hyperlink r:id="rId203" w:history="1">
        <w:r w:rsidR="002F21A9" w:rsidRPr="007743A7">
          <w:rPr>
            <w:rStyle w:val="Hyperlink"/>
            <w:rFonts w:eastAsia="Times New Roman" w:cs="Times New Roman"/>
            <w:noProof/>
            <w:sz w:val="22"/>
          </w:rPr>
          <w:t>https://web.a.ebscohost.com/abstract?direct=true&amp;profile=ehost&amp;scope=site&amp;authtype=crawler&amp;jrnl=10474838&amp;AN=131260349&amp;h=3jz88ui1kQUPOQDuDgvfO%2b9G8MwOEmROzOA313ny5SZmKbUecLq2RBw4UlNYf8Tjqcs2fecFbTrQkw7IIUouQQ%3d%3d&amp;crl=c&amp;resultNs=AdminWebAuth&amp;resultLocal=ErrCrlNotAuth&amp;crlhashurl=login.aspx%3fdirect%3dtrue%26profile%3dehost%26scope%3dsite%26authtype%3dcrawler%26jrnl%3d10474838%26AN%3d131260349</w:t>
        </w:r>
      </w:hyperlink>
      <w:r w:rsidR="002F21A9">
        <w:rPr>
          <w:rFonts w:eastAsia="Times New Roman" w:cs="Times New Roman"/>
          <w:noProof/>
          <w:color w:val="000000"/>
          <w:sz w:val="22"/>
        </w:rPr>
        <w:t xml:space="preserve"> </w:t>
      </w:r>
    </w:p>
    <w:p w14:paraId="5AB626FB" w14:textId="77777777" w:rsidR="006F0E0B" w:rsidRDefault="006F0E0B" w:rsidP="00C9232E">
      <w:pPr>
        <w:rPr>
          <w:rFonts w:eastAsia="Times New Roman" w:cs="Times New Roman"/>
          <w:noProof/>
          <w:color w:val="000000"/>
          <w:sz w:val="22"/>
        </w:rPr>
      </w:pPr>
    </w:p>
    <w:p w14:paraId="23624BB0" w14:textId="5AAED110"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“Hypervelocity testing at 600 shots/year.” NASA. </w:t>
      </w:r>
      <w:hyperlink r:id="rId204" w:history="1">
        <w:r w:rsidR="002F21A9" w:rsidRPr="007743A7">
          <w:rPr>
            <w:rStyle w:val="Hyperlink"/>
            <w:rFonts w:eastAsia="Times New Roman" w:cs="Times New Roman"/>
            <w:noProof/>
            <w:sz w:val="22"/>
          </w:rPr>
          <w:t>https://www.nasa.gov/centers/wstf/testing_and_analysis/hypervelocity_impact/index.html</w:t>
        </w:r>
      </w:hyperlink>
      <w:r w:rsidR="002F21A9">
        <w:rPr>
          <w:rFonts w:eastAsia="Times New Roman" w:cs="Times New Roman"/>
          <w:noProof/>
          <w:color w:val="000000"/>
          <w:sz w:val="22"/>
        </w:rPr>
        <w:t xml:space="preserve"> </w:t>
      </w:r>
    </w:p>
    <w:p w14:paraId="0CFE5676" w14:textId="77777777" w:rsidR="00C9232E" w:rsidRPr="00D0206E" w:rsidRDefault="00C9232E" w:rsidP="00C9232E">
      <w:pPr>
        <w:rPr>
          <w:rFonts w:eastAsia="Times New Roman" w:cs="Times New Roman"/>
          <w:color w:val="000000"/>
          <w:sz w:val="22"/>
        </w:rPr>
      </w:pPr>
    </w:p>
    <w:p w14:paraId="1447B73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High Throughput Testing, Hypersonic Materials, Embedded Sensing, Non-contact Sensing, Extreme Temperature Environments, Ablative Shock Boundary Conditions</w:t>
      </w:r>
    </w:p>
    <w:p w14:paraId="1E4BDA33" w14:textId="77777777" w:rsidR="00C9232E" w:rsidRPr="00D0206E" w:rsidRDefault="00C9232E" w:rsidP="00C9232E">
      <w:pPr>
        <w:rPr>
          <w:rFonts w:eastAsia="Times New Roman" w:cs="Times New Roman"/>
          <w:color w:val="000000"/>
          <w:sz w:val="22"/>
        </w:rPr>
      </w:pPr>
    </w:p>
    <w:p w14:paraId="40469652" w14:textId="6549C5C7" w:rsidR="00C9232E" w:rsidRPr="00D0206E" w:rsidRDefault="00C9232E" w:rsidP="00FD0A09">
      <w:pPr>
        <w:rPr>
          <w:rFonts w:eastAsia="Times New Roman" w:cs="Times New Roman"/>
          <w:color w:val="000000"/>
          <w:sz w:val="22"/>
        </w:rPr>
      </w:pPr>
      <w:r w:rsidRPr="00D0206E">
        <w:rPr>
          <w:sz w:val="22"/>
        </w:rPr>
        <w:br w:type="page"/>
      </w:r>
      <w:r w:rsidR="00FD0A09" w:rsidRPr="00FD0A09">
        <w:rPr>
          <w:rFonts w:eastAsia="Times New Roman" w:cs="Times New Roman"/>
          <w:noProof/>
          <w:color w:val="000000"/>
          <w:sz w:val="22"/>
        </w:rPr>
        <w:lastRenderedPageBreak/>
        <w:t>N202-138</w:t>
      </w:r>
      <w:r w:rsidR="00FD0A09" w:rsidRPr="00FD0A09">
        <w:rPr>
          <w:rFonts w:eastAsia="Times New Roman" w:cs="Times New Roman"/>
          <w:noProof/>
          <w:color w:val="000000"/>
          <w:sz w:val="22"/>
        </w:rPr>
        <w:tab/>
        <w:t>[Navy has removed topic N202-138 from the 20.2 SBIR BAA]</w:t>
      </w:r>
    </w:p>
    <w:p w14:paraId="6F01A90B" w14:textId="77777777" w:rsidR="00C9232E" w:rsidRPr="00D0206E" w:rsidRDefault="00C9232E" w:rsidP="00C9232E">
      <w:pPr>
        <w:tabs>
          <w:tab w:val="left" w:pos="1260"/>
        </w:tabs>
        <w:ind w:left="270"/>
        <w:rPr>
          <w:rFonts w:eastAsia="Times New Roman" w:cs="Times New Roman"/>
          <w:color w:val="000000"/>
          <w:sz w:val="22"/>
        </w:rPr>
      </w:pPr>
    </w:p>
    <w:p w14:paraId="2DBF025C" w14:textId="77777777" w:rsidR="00C9232E" w:rsidRPr="00D0206E" w:rsidRDefault="00C9232E" w:rsidP="00C9232E">
      <w:pPr>
        <w:tabs>
          <w:tab w:val="left" w:pos="1260"/>
        </w:tabs>
        <w:ind w:left="270"/>
        <w:rPr>
          <w:rFonts w:eastAsia="Times New Roman" w:cs="Times New Roman"/>
          <w:color w:val="000000"/>
          <w:sz w:val="22"/>
        </w:rPr>
      </w:pPr>
    </w:p>
    <w:p w14:paraId="13CA448A" w14:textId="77777777" w:rsidR="00C9232E" w:rsidRPr="00D0206E" w:rsidRDefault="00C9232E" w:rsidP="00C9232E">
      <w:pPr>
        <w:rPr>
          <w:rFonts w:eastAsia="Times New Roman" w:cs="Times New Roman"/>
          <w:color w:val="000000"/>
          <w:sz w:val="22"/>
        </w:rPr>
      </w:pPr>
    </w:p>
    <w:p w14:paraId="51B40FB0" w14:textId="77777777" w:rsidR="00C9232E" w:rsidRPr="00D0206E" w:rsidRDefault="00C9232E" w:rsidP="00C9232E">
      <w:pPr>
        <w:rPr>
          <w:rFonts w:eastAsia="Times New Roman" w:cs="Times New Roman"/>
          <w:color w:val="000000"/>
          <w:sz w:val="22"/>
        </w:rPr>
      </w:pPr>
    </w:p>
    <w:p w14:paraId="03CABD91"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13D70300"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N202-139</w:t>
      </w:r>
      <w:r w:rsidRPr="00D0206E">
        <w:rPr>
          <w:rFonts w:eastAsia="Times New Roman" w:cs="Times New Roman"/>
          <w:color w:val="000000"/>
          <w:sz w:val="22"/>
        </w:rPr>
        <w:tab/>
        <w:t xml:space="preserve">TITLE: </w:t>
      </w:r>
      <w:r w:rsidRPr="00D0206E">
        <w:rPr>
          <w:rFonts w:eastAsia="Times New Roman" w:cs="Times New Roman"/>
          <w:noProof/>
          <w:color w:val="000000"/>
          <w:sz w:val="22"/>
        </w:rPr>
        <w:t>Probability of Kill Modeling for Hypersonic Vehicle Missions</w:t>
      </w:r>
    </w:p>
    <w:p w14:paraId="3A9AC7A1" w14:textId="77777777" w:rsidR="00C9232E" w:rsidRPr="00D0206E" w:rsidRDefault="00C9232E" w:rsidP="00C9232E">
      <w:pPr>
        <w:rPr>
          <w:rFonts w:eastAsia="Times New Roman" w:cs="Times New Roman"/>
          <w:color w:val="000000"/>
          <w:sz w:val="22"/>
        </w:rPr>
      </w:pPr>
    </w:p>
    <w:p w14:paraId="5EE940E8"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356BE0D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Weapons</w:t>
      </w:r>
    </w:p>
    <w:p w14:paraId="069C9848" w14:textId="77777777" w:rsidR="00C9232E" w:rsidRPr="00D0206E" w:rsidRDefault="00C9232E" w:rsidP="00C9232E">
      <w:pPr>
        <w:rPr>
          <w:rFonts w:eastAsia="Times New Roman" w:cs="Times New Roman"/>
          <w:color w:val="000000"/>
          <w:sz w:val="22"/>
        </w:rPr>
      </w:pPr>
    </w:p>
    <w:p w14:paraId="408ABA4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5191182" w14:textId="77777777" w:rsidR="00C9232E" w:rsidRPr="00D0206E" w:rsidRDefault="00C9232E" w:rsidP="00C9232E">
      <w:pPr>
        <w:rPr>
          <w:rFonts w:eastAsia="Times New Roman" w:cs="Times New Roman"/>
          <w:color w:val="000000"/>
          <w:sz w:val="22"/>
        </w:rPr>
      </w:pPr>
    </w:p>
    <w:p w14:paraId="4DC1684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Create an optimization/sensitivity model that utilizes kill probability as the basis for assessment of alternative hypersonic system technologies.</w:t>
      </w:r>
    </w:p>
    <w:p w14:paraId="0FCAC457" w14:textId="77777777" w:rsidR="00C9232E" w:rsidRPr="00D0206E" w:rsidRDefault="00C9232E" w:rsidP="00C9232E">
      <w:pPr>
        <w:rPr>
          <w:rFonts w:eastAsia="Times New Roman" w:cs="Times New Roman"/>
          <w:color w:val="000000"/>
          <w:sz w:val="22"/>
        </w:rPr>
      </w:pPr>
    </w:p>
    <w:p w14:paraId="70DAEED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Hypersonic vehicles (HV) are designed to travel at high speeds pursuing deeply protected targets and seeking to impact them with sufficiently high energy. Thus, the Probability of Kill for a hypersonic weapon depends on both the ability to arrive at the target and to sufficiently damage it. Mathematically, the Probability of Kill (P_k) for a HV can be expressed as the product of the Probability of Arrival (P_a) multiplied by the Probability of Damage (P_d): P_k=P_a*P_d.  The main challenge for developing an effective HV is that there are many vehicle performance and mission scenario parameters that influence P_k. Innovation is needed to develop a ‘system of systems’ analysis capability that models the many interdependent components and sub-components of P_k as a function of new technologies on the HV and then optimizes the family of technologies that maximizes P_k across relevant mission sets. The desired system of systems model will provide a framework to capture P_a and P_d under a variety of technology infusion scenarios and integrate these into assessments into the optimization of P_k of a new HV. The prototype framework should leverage both low- and high-fidelity models to robustly estimate the cost-benefit proposition (on P_k) from the injection of new technologies into the HV development and justify the robustness of the estimates with extensive sensitivity analysis.</w:t>
      </w:r>
    </w:p>
    <w:p w14:paraId="1A09482F" w14:textId="77777777" w:rsidR="00C9232E" w:rsidRPr="00D0206E" w:rsidRDefault="00C9232E" w:rsidP="00C9232E">
      <w:pPr>
        <w:rPr>
          <w:rFonts w:eastAsia="Times New Roman" w:cs="Times New Roman"/>
          <w:noProof/>
          <w:color w:val="000000"/>
          <w:sz w:val="22"/>
        </w:rPr>
      </w:pPr>
    </w:p>
    <w:p w14:paraId="7122EEA4"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Estimating the P_a hinges on the ability to capture the behaviors and physical limitations of the HV itself, the supporting role of other blue-force systems, and the efficacy of any non-target red-force systems and their behaviors. In uncontested scenarios, this may be simply a function of time and geometry; however, in more complex scenarios that represent real-world scenarios, producing such a model requires incorporating capabilities of multiple interdependent systems. Estimating the P_d can be accomplished by a statistical model obtained by aggregating high-fidelity models and inputs. P_d can be calculated separately from the P_a by capturing the state information of the HV and pairing that with accepted models of threat systems. However, for any given mission and any given time, the state of HV at impact, again, is dependent on the blue-force support systems and the effect from red-force counter systems. </w:t>
      </w:r>
    </w:p>
    <w:p w14:paraId="6429F2ED" w14:textId="77777777" w:rsidR="00C9232E" w:rsidRPr="00D0206E" w:rsidRDefault="00C9232E" w:rsidP="00C9232E">
      <w:pPr>
        <w:rPr>
          <w:rFonts w:eastAsia="Times New Roman" w:cs="Times New Roman"/>
          <w:noProof/>
          <w:color w:val="000000"/>
          <w:sz w:val="22"/>
        </w:rPr>
      </w:pPr>
    </w:p>
    <w:p w14:paraId="385956E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Phase II effort will likely require secure access, and SSP will process the DD254 to support the contractor for personnel and facility certification for secure access. The Phase I effort will not require access to classified information. If need be, data of the same level of complexity as secured data will be provided to support Phase I work.</w:t>
      </w:r>
    </w:p>
    <w:p w14:paraId="566879FE" w14:textId="77777777" w:rsidR="00C9232E" w:rsidRPr="00D0206E" w:rsidRDefault="00C9232E" w:rsidP="00C9232E">
      <w:pPr>
        <w:rPr>
          <w:rFonts w:eastAsia="Times New Roman" w:cs="Times New Roman"/>
          <w:noProof/>
          <w:color w:val="000000"/>
          <w:sz w:val="22"/>
        </w:rPr>
      </w:pPr>
    </w:p>
    <w:p w14:paraId="011CF27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w:t>
      </w:r>
      <w:r w:rsidRPr="00D0206E">
        <w:rPr>
          <w:rFonts w:eastAsia="Times New Roman" w:cs="Times New Roman"/>
          <w:noProof/>
          <w:color w:val="000000"/>
          <w:sz w:val="22"/>
        </w:rPr>
        <w:lastRenderedPageBreak/>
        <w:t>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E8DCBD7" w14:textId="77777777" w:rsidR="00C9232E" w:rsidRPr="00D0206E" w:rsidRDefault="00C9232E" w:rsidP="00C9232E">
      <w:pPr>
        <w:rPr>
          <w:rFonts w:eastAsia="Times New Roman" w:cs="Times New Roman"/>
          <w:color w:val="000000"/>
          <w:sz w:val="22"/>
        </w:rPr>
      </w:pPr>
    </w:p>
    <w:p w14:paraId="30D1DB70"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 xml:space="preserve">Define and develop a conceptual framework for calculating P_k of HV based on modeling probability of arrival and probability of damage. </w:t>
      </w:r>
    </w:p>
    <w:p w14:paraId="7DDC1EF1" w14:textId="77777777" w:rsidR="00C9232E" w:rsidRPr="00D0206E" w:rsidRDefault="00C9232E" w:rsidP="00C9232E">
      <w:pPr>
        <w:rPr>
          <w:rFonts w:eastAsia="Times New Roman" w:cs="Times New Roman"/>
          <w:noProof/>
          <w:color w:val="000000"/>
          <w:sz w:val="22"/>
        </w:rPr>
      </w:pPr>
    </w:p>
    <w:p w14:paraId="009BF9C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Develop a concept for a system of systems modeling and simulation capability that can be flexibly and iteratively refined to include models of increasing fidelity blue and red force assets, including new and novel technologies within the major systems of HVs. </w:t>
      </w:r>
    </w:p>
    <w:p w14:paraId="7ACA8622" w14:textId="77777777" w:rsidR="00C9232E" w:rsidRPr="00D0206E" w:rsidRDefault="00C9232E" w:rsidP="00C9232E">
      <w:pPr>
        <w:rPr>
          <w:rFonts w:eastAsia="Times New Roman" w:cs="Times New Roman"/>
          <w:noProof/>
          <w:color w:val="000000"/>
          <w:sz w:val="22"/>
        </w:rPr>
      </w:pPr>
    </w:p>
    <w:p w14:paraId="4688B8B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Phase I Option, if exercised, will include the initial design specifications and capabilities description to build a prototype solution in Phase II.  Prepare a Phase II plan.</w:t>
      </w:r>
    </w:p>
    <w:p w14:paraId="06224ABA" w14:textId="77777777" w:rsidR="00C9232E" w:rsidRPr="00D0206E" w:rsidRDefault="00C9232E" w:rsidP="00C9232E">
      <w:pPr>
        <w:rPr>
          <w:rFonts w:eastAsia="Times New Roman" w:cs="Times New Roman"/>
          <w:color w:val="000000"/>
          <w:sz w:val="22"/>
        </w:rPr>
      </w:pPr>
    </w:p>
    <w:p w14:paraId="6C996EAD"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 xml:space="preserve">Deliver P_d models and P_A models that can be used to determine P_k for HVs. This will provide a framework to build a model for P_k that can be used to evaluate more complex systems. Validate the subsequent P_k results by comparison to field test data from HV flights. </w:t>
      </w:r>
    </w:p>
    <w:p w14:paraId="5537CA06" w14:textId="77777777" w:rsidR="00C9232E" w:rsidRPr="00D0206E" w:rsidRDefault="00C9232E" w:rsidP="00C9232E">
      <w:pPr>
        <w:rPr>
          <w:rFonts w:eastAsia="Times New Roman" w:cs="Times New Roman"/>
          <w:noProof/>
          <w:color w:val="000000"/>
          <w:sz w:val="22"/>
        </w:rPr>
      </w:pPr>
    </w:p>
    <w:p w14:paraId="584E26AA"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492E2378" w14:textId="77777777" w:rsidR="00C9232E" w:rsidRPr="00D0206E" w:rsidRDefault="00C9232E" w:rsidP="00C9232E">
      <w:pPr>
        <w:rPr>
          <w:rFonts w:eastAsia="Times New Roman" w:cs="Times New Roman"/>
          <w:color w:val="000000"/>
          <w:sz w:val="22"/>
        </w:rPr>
      </w:pPr>
    </w:p>
    <w:p w14:paraId="0A13990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Deliver an integrated toolset that assesses both P_d and P_A by integrating a representative set of low- and high-fidelity models of interest. Demonstrate P_k for real world scenarios by incorporating operational model HV and system of systems.</w:t>
      </w:r>
    </w:p>
    <w:p w14:paraId="2CE23A45" w14:textId="77777777" w:rsidR="00C9232E" w:rsidRPr="00D0206E" w:rsidRDefault="00C9232E" w:rsidP="00C9232E">
      <w:pPr>
        <w:rPr>
          <w:rFonts w:eastAsia="Times New Roman" w:cs="Times New Roman"/>
          <w:noProof/>
          <w:color w:val="000000"/>
          <w:sz w:val="22"/>
        </w:rPr>
      </w:pPr>
    </w:p>
    <w:p w14:paraId="7DE240A7"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inherent functionality of the proposed analysis toolset would be applicable to any complex hypersonic vehicle application. For example, the design of planetary entry systems requiring precise targeting for landing would benefit from these innovations.</w:t>
      </w:r>
    </w:p>
    <w:p w14:paraId="6BD753D5" w14:textId="77777777" w:rsidR="00C9232E" w:rsidRPr="00D0206E" w:rsidRDefault="00C9232E" w:rsidP="00C9232E">
      <w:pPr>
        <w:rPr>
          <w:rFonts w:eastAsia="Times New Roman" w:cs="Times New Roman"/>
          <w:color w:val="000000"/>
          <w:sz w:val="22"/>
        </w:rPr>
      </w:pPr>
    </w:p>
    <w:p w14:paraId="3EB7F45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32246420" w14:textId="5314186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Ezra, Kristopher L., DeLaurentis, Daniel A., Mockus, Linas and Pekny, Joseph F. "Developing Mathematical Formulations for the Integrated Problem of Sensors, Weapons, and Targets." Journal of Aerospace Information Systems, Vol. 13, No. 5, 2016, pp. 175-190. </w:t>
      </w:r>
      <w:hyperlink r:id="rId205" w:history="1">
        <w:r w:rsidR="002F21A9" w:rsidRPr="007743A7">
          <w:rPr>
            <w:rStyle w:val="Hyperlink"/>
            <w:rFonts w:eastAsia="Times New Roman" w:cs="Times New Roman"/>
            <w:noProof/>
            <w:sz w:val="22"/>
          </w:rPr>
          <w:t>https://arc.aiaa.org/doi/full/10.2514/1.I010372</w:t>
        </w:r>
      </w:hyperlink>
      <w:r w:rsidR="002F21A9">
        <w:rPr>
          <w:rFonts w:eastAsia="Times New Roman" w:cs="Times New Roman"/>
          <w:noProof/>
          <w:color w:val="000000"/>
          <w:sz w:val="22"/>
        </w:rPr>
        <w:t xml:space="preserve"> </w:t>
      </w:r>
    </w:p>
    <w:p w14:paraId="3BB49401" w14:textId="77777777" w:rsidR="00632C03" w:rsidRDefault="00632C03" w:rsidP="00C9232E">
      <w:pPr>
        <w:rPr>
          <w:rFonts w:eastAsia="Times New Roman" w:cs="Times New Roman"/>
          <w:noProof/>
          <w:color w:val="000000"/>
          <w:sz w:val="22"/>
        </w:rPr>
      </w:pPr>
    </w:p>
    <w:p w14:paraId="3921E8E8" w14:textId="29C6657D"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Grant, Michael J., and Braun, Robert D. "Rapid indirect trajectory optimization for conceptual design of hypersonic missions." Journal of Spacecraft and Rockets 52.1, 2014, pp. 177-182. </w:t>
      </w:r>
      <w:hyperlink r:id="rId206" w:history="1">
        <w:r w:rsidR="002F21A9" w:rsidRPr="007743A7">
          <w:rPr>
            <w:rStyle w:val="Hyperlink"/>
            <w:rFonts w:eastAsia="Times New Roman" w:cs="Times New Roman"/>
            <w:noProof/>
            <w:sz w:val="22"/>
          </w:rPr>
          <w:t>https://arc.aiaa.org/doi/full/10.2514/1.A32949</w:t>
        </w:r>
      </w:hyperlink>
      <w:r w:rsidR="002F21A9">
        <w:rPr>
          <w:rFonts w:eastAsia="Times New Roman" w:cs="Times New Roman"/>
          <w:noProof/>
          <w:color w:val="000000"/>
          <w:sz w:val="22"/>
        </w:rPr>
        <w:t xml:space="preserve"> </w:t>
      </w:r>
    </w:p>
    <w:p w14:paraId="799D9EC9" w14:textId="77777777" w:rsidR="00632C03" w:rsidRDefault="00632C03" w:rsidP="00C9232E">
      <w:pPr>
        <w:rPr>
          <w:rFonts w:eastAsia="Times New Roman" w:cs="Times New Roman"/>
          <w:noProof/>
          <w:color w:val="000000"/>
          <w:sz w:val="22"/>
        </w:rPr>
      </w:pPr>
    </w:p>
    <w:p w14:paraId="64F0D87B" w14:textId="343C9ECC"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Bogdanowicz, Zbigniew R., et al. "Optimization of weapon–target pairings based on kill probabilities." IEEE transactions on cybernetics, 43.6, 2012, pp. 1835-1844. </w:t>
      </w:r>
      <w:hyperlink r:id="rId207" w:history="1">
        <w:r w:rsidR="002F21A9" w:rsidRPr="007743A7">
          <w:rPr>
            <w:rStyle w:val="Hyperlink"/>
            <w:rFonts w:eastAsia="Times New Roman" w:cs="Times New Roman"/>
            <w:noProof/>
            <w:sz w:val="22"/>
          </w:rPr>
          <w:t>https://ieeexplore.ieee.org/document/6392482</w:t>
        </w:r>
      </w:hyperlink>
      <w:r w:rsidR="002F21A9">
        <w:rPr>
          <w:rFonts w:eastAsia="Times New Roman" w:cs="Times New Roman"/>
          <w:noProof/>
          <w:color w:val="000000"/>
          <w:sz w:val="22"/>
        </w:rPr>
        <w:t xml:space="preserve"> </w:t>
      </w:r>
    </w:p>
    <w:p w14:paraId="06ADDC7A" w14:textId="77777777" w:rsidR="00C9232E" w:rsidRPr="00D0206E" w:rsidRDefault="00C9232E" w:rsidP="00C9232E">
      <w:pPr>
        <w:rPr>
          <w:rFonts w:eastAsia="Times New Roman" w:cs="Times New Roman"/>
          <w:color w:val="000000"/>
          <w:sz w:val="22"/>
        </w:rPr>
      </w:pPr>
    </w:p>
    <w:p w14:paraId="56EFD61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Probability of Kill, Probability of Damage, Probability of Arrival, Hypersonic Vehicles, System of Systems Analysis, Mission Effectiveness, Technology Assessments, Vehicle Design</w:t>
      </w:r>
    </w:p>
    <w:p w14:paraId="49F5ED4D" w14:textId="77777777" w:rsidR="00C9232E" w:rsidRPr="00D0206E" w:rsidRDefault="00C9232E" w:rsidP="00C9232E">
      <w:pPr>
        <w:rPr>
          <w:rFonts w:eastAsia="Times New Roman" w:cs="Times New Roman"/>
          <w:color w:val="000000"/>
          <w:sz w:val="22"/>
        </w:rPr>
      </w:pPr>
    </w:p>
    <w:p w14:paraId="1B7146B8" w14:textId="77777777" w:rsidR="00C9232E" w:rsidRPr="00D0206E" w:rsidRDefault="00C9232E" w:rsidP="00C9232E">
      <w:pPr>
        <w:rPr>
          <w:rFonts w:eastAsia="Times New Roman" w:cs="Times New Roman"/>
          <w:color w:val="000000"/>
          <w:sz w:val="22"/>
        </w:rPr>
      </w:pPr>
    </w:p>
    <w:p w14:paraId="63B2BB49"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C15A00E" w14:textId="61136F27" w:rsidR="00C9232E" w:rsidRPr="00D0206E" w:rsidRDefault="009D0F8F" w:rsidP="00C9232E">
      <w:pPr>
        <w:tabs>
          <w:tab w:val="left" w:pos="1260"/>
        </w:tabs>
        <w:ind w:left="270"/>
        <w:rPr>
          <w:rFonts w:eastAsia="Times New Roman" w:cs="Times New Roman"/>
          <w:color w:val="000000"/>
          <w:sz w:val="22"/>
        </w:rPr>
      </w:pPr>
      <w:r w:rsidRPr="009D0F8F">
        <w:rPr>
          <w:rFonts w:eastAsia="Times New Roman" w:cs="Times New Roman"/>
          <w:noProof/>
          <w:color w:val="000000"/>
          <w:sz w:val="22"/>
        </w:rPr>
        <w:lastRenderedPageBreak/>
        <w:t>N202-140</w:t>
      </w:r>
      <w:r w:rsidRPr="009D0F8F">
        <w:rPr>
          <w:rFonts w:eastAsia="Times New Roman" w:cs="Times New Roman"/>
          <w:noProof/>
          <w:color w:val="000000"/>
          <w:sz w:val="22"/>
        </w:rPr>
        <w:tab/>
        <w:t>[Navy has removed topic N202-140 from the 20.2 SBIR BAA]</w:t>
      </w:r>
    </w:p>
    <w:p w14:paraId="00D0B5DA" w14:textId="77777777" w:rsidR="00632C03" w:rsidRPr="00D0206E" w:rsidRDefault="00632C03" w:rsidP="00C9232E">
      <w:pPr>
        <w:rPr>
          <w:rFonts w:eastAsia="Times New Roman" w:cs="Times New Roman"/>
          <w:color w:val="000000"/>
          <w:sz w:val="22"/>
        </w:rPr>
      </w:pPr>
    </w:p>
    <w:p w14:paraId="1EBDD9CA" w14:textId="77777777" w:rsidR="00C9232E" w:rsidRPr="00D0206E" w:rsidRDefault="00C9232E" w:rsidP="00C9232E">
      <w:pPr>
        <w:rPr>
          <w:rFonts w:eastAsia="Times New Roman" w:cs="Times New Roman"/>
          <w:color w:val="000000"/>
          <w:sz w:val="22"/>
        </w:rPr>
      </w:pPr>
    </w:p>
    <w:p w14:paraId="7458E515"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11595A82"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N202-141</w:t>
      </w:r>
      <w:r w:rsidRPr="00D0206E">
        <w:rPr>
          <w:rFonts w:eastAsia="Times New Roman" w:cs="Times New Roman"/>
          <w:color w:val="000000"/>
          <w:sz w:val="22"/>
        </w:rPr>
        <w:tab/>
        <w:t xml:space="preserve">TITLE: </w:t>
      </w:r>
      <w:r w:rsidRPr="00D0206E">
        <w:rPr>
          <w:rFonts w:eastAsia="Times New Roman" w:cs="Times New Roman"/>
          <w:noProof/>
          <w:color w:val="000000"/>
          <w:sz w:val="22"/>
        </w:rPr>
        <w:t>Investigate the use of Discrete Patterned Roughness for Turbulent Transition Control in a Hypersonic Boundary Layer</w:t>
      </w:r>
    </w:p>
    <w:p w14:paraId="2BF1D4B7" w14:textId="77777777" w:rsidR="00C9232E" w:rsidRPr="00D0206E" w:rsidRDefault="00C9232E" w:rsidP="00C9232E">
      <w:pPr>
        <w:rPr>
          <w:rFonts w:eastAsia="Times New Roman" w:cs="Times New Roman"/>
          <w:color w:val="000000"/>
          <w:sz w:val="22"/>
        </w:rPr>
      </w:pPr>
    </w:p>
    <w:p w14:paraId="777A3FC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27ECAFB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Weapons</w:t>
      </w:r>
    </w:p>
    <w:p w14:paraId="3E1D1EC0" w14:textId="77777777" w:rsidR="00C9232E" w:rsidRPr="00D0206E" w:rsidRDefault="00C9232E" w:rsidP="00C9232E">
      <w:pPr>
        <w:rPr>
          <w:rFonts w:eastAsia="Times New Roman" w:cs="Times New Roman"/>
          <w:color w:val="000000"/>
          <w:sz w:val="22"/>
        </w:rPr>
      </w:pPr>
    </w:p>
    <w:p w14:paraId="7E31727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A01C481" w14:textId="77777777" w:rsidR="00C9232E" w:rsidRPr="00D0206E" w:rsidRDefault="00C9232E" w:rsidP="00C9232E">
      <w:pPr>
        <w:rPr>
          <w:rFonts w:eastAsia="Times New Roman" w:cs="Times New Roman"/>
          <w:color w:val="000000"/>
          <w:sz w:val="22"/>
        </w:rPr>
      </w:pPr>
    </w:p>
    <w:p w14:paraId="40DC716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Model and investigate the use of discrete patterned roughness for turbulent transition control with rough surface conditions that result from manufacturing, or wear and ablation during hypersonic flight.</w:t>
      </w:r>
    </w:p>
    <w:p w14:paraId="63F6CBB6" w14:textId="77777777" w:rsidR="00C9232E" w:rsidRPr="00D0206E" w:rsidRDefault="00C9232E" w:rsidP="00C9232E">
      <w:pPr>
        <w:rPr>
          <w:rFonts w:eastAsia="Times New Roman" w:cs="Times New Roman"/>
          <w:color w:val="000000"/>
          <w:sz w:val="22"/>
        </w:rPr>
      </w:pPr>
    </w:p>
    <w:p w14:paraId="0DF202C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Discrete patterned roughness has been successful in suppressing laminar-turbulent transition on hypersonic lift-generating configurations involving cross-flow. In these cases, the surfaces have been hydrodynamically smooth. Experiments are needed to evaluate the effect of rough surfaces on the transition control. This should involve experiments in multiple (at least two) quiet hypersonic wind tunnels. Test articles would be lift-generating geometries in which a cross-flow instability is the dominant mechanism of turbulent transition. These articles would include a number of documentable surface roughness conditions, including a baseline smooth surface. The roughness descriptions will be used in simulations of boundary layer turbulent transition with the experiments providing validation. These experiments will document the sensitivity of transition Reynolds number and the level of discrete roughness transition control on the background roughness. In the event of a reduction in transition control, approaches to overcome this should be proposed. </w:t>
      </w:r>
    </w:p>
    <w:p w14:paraId="186130DC" w14:textId="77777777" w:rsidR="00C9232E" w:rsidRPr="00D0206E" w:rsidRDefault="00C9232E" w:rsidP="00C9232E">
      <w:pPr>
        <w:rPr>
          <w:rFonts w:eastAsia="Times New Roman" w:cs="Times New Roman"/>
          <w:noProof/>
          <w:color w:val="000000"/>
          <w:sz w:val="22"/>
        </w:rPr>
      </w:pPr>
    </w:p>
    <w:p w14:paraId="639C33F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Wind tunnel experiments at Mach 3.5 and 6.0 have demonstrated the ability of patterned discrete roughness to delay turbulence transition on lifting bodies where the dominant mechanism is through a cross-flow instability and is applicable to circular cones at angles of attack and elliptic cross-section cones such as the HiFiRE-5 (Hypersonic International Flight Research Experimentation Program) design. The approach is based on seeding less-amplified (subcritical) stationary cross-flow modes that suppress the growth of the more-amplified (critical) cross-flow modes, and thereby delay transition. Experiments on circular cones at angles of attack have increased the transition Reynolds number by as much as 40%. These experiments have been in idealized flows without extreme surface heating or ablation. The model surfaces were also highly polished so that the discrete roughness height or depth could be extremely small (O40µm). For transition control, the necessary roughness height or depth will depend on the background surface roughness. A more critical scale is the spacing between the discrete roughness that determines the spanwise wavenumber of the excited subcritical cross-flow modes. The background surface roughness spectrum will therefore be a factor.</w:t>
      </w:r>
    </w:p>
    <w:p w14:paraId="7A82BF4E" w14:textId="77777777" w:rsidR="00C9232E" w:rsidRPr="00D0206E" w:rsidRDefault="00C9232E" w:rsidP="00C9232E">
      <w:pPr>
        <w:rPr>
          <w:rFonts w:eastAsia="Times New Roman" w:cs="Times New Roman"/>
          <w:noProof/>
          <w:color w:val="000000"/>
          <w:sz w:val="22"/>
        </w:rPr>
      </w:pPr>
    </w:p>
    <w:p w14:paraId="04F20A1A"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Given the number of benefits of delaying transition on hypersonic vehicles, and the successful demonstrations of this technology, investigation into realistic flight geometries with surface roughness that takes into account wear and ablation is needed. This would involve wind tunnel experiments in multiple quiet hypersonic tunnels. The surface roughness of the test articles should range from a baseline smooth (O40µm) surface to varying degrees of distributed roughness.</w:t>
      </w:r>
    </w:p>
    <w:p w14:paraId="547A372C" w14:textId="77777777" w:rsidR="00C9232E" w:rsidRPr="00D0206E" w:rsidRDefault="00C9232E" w:rsidP="00C9232E">
      <w:pPr>
        <w:rPr>
          <w:rFonts w:eastAsia="Times New Roman" w:cs="Times New Roman"/>
          <w:noProof/>
          <w:color w:val="000000"/>
          <w:sz w:val="22"/>
        </w:rPr>
      </w:pPr>
    </w:p>
    <w:p w14:paraId="6FA387D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Descriptions of the roughness could likely come from surface impressions of past flight test vehicles, or possibly surfaces generated on test articles placed in high-enthalpy hypersonic facilities. In all cases, the roughness needs to be quantified through highly resolved 3-D surface measurements. The roughness descriptions would be used in simulations that predict turbulence transition and will be validated through comparisons to the experiments. Ultimately for practical implementation, the sensitivity of the discrete roughness transition control on the level of background roughness needs to be determined. In the event that a reduction in transition control is observed, approaches that overcome the reduction need to be investigated.</w:t>
      </w:r>
    </w:p>
    <w:p w14:paraId="6FA05DA3" w14:textId="77777777" w:rsidR="00C9232E" w:rsidRPr="00D0206E" w:rsidRDefault="00C9232E" w:rsidP="00C9232E">
      <w:pPr>
        <w:rPr>
          <w:rFonts w:eastAsia="Times New Roman" w:cs="Times New Roman"/>
          <w:noProof/>
          <w:color w:val="000000"/>
          <w:sz w:val="22"/>
        </w:rPr>
      </w:pPr>
    </w:p>
    <w:p w14:paraId="76351825"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DEC2CDD" w14:textId="77777777" w:rsidR="00C9232E" w:rsidRPr="00D0206E" w:rsidRDefault="00C9232E" w:rsidP="00C9232E">
      <w:pPr>
        <w:rPr>
          <w:rFonts w:eastAsia="Times New Roman" w:cs="Times New Roman"/>
          <w:color w:val="000000"/>
          <w:sz w:val="22"/>
        </w:rPr>
      </w:pPr>
    </w:p>
    <w:p w14:paraId="18820A02"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an initial concept design of a model geometry with cross-flow dominated laminar-turbulent transition and the generation of surface roughness representing pre-flight and post-flight conditions using a smooth surface to provide a baseline condition. Fabricate a model of a scale that will operate within the quiet zone of at least two quiet hypersonic wind tunnels. Employ wind tunnel conditions that are sufficient to achieve turbulent transition on the model, and roughness that is interchangeable, with documented characteristics.</w:t>
      </w:r>
    </w:p>
    <w:p w14:paraId="4FC69B9C" w14:textId="77777777" w:rsidR="00C9232E" w:rsidRPr="00D0206E" w:rsidRDefault="00C9232E" w:rsidP="00C9232E">
      <w:pPr>
        <w:rPr>
          <w:rFonts w:eastAsia="Times New Roman" w:cs="Times New Roman"/>
          <w:noProof/>
          <w:color w:val="000000"/>
          <w:sz w:val="22"/>
        </w:rPr>
      </w:pPr>
    </w:p>
    <w:p w14:paraId="114C81F2"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Phase I Option, if exercised, will include the initial design specifications and capabilities description to build a prototype solution in Phase II. Prepare a Phase II plan.</w:t>
      </w:r>
    </w:p>
    <w:p w14:paraId="3F21E553" w14:textId="77777777" w:rsidR="00C9232E" w:rsidRPr="00D0206E" w:rsidRDefault="00C9232E" w:rsidP="00C9232E">
      <w:pPr>
        <w:rPr>
          <w:rFonts w:eastAsia="Times New Roman" w:cs="Times New Roman"/>
          <w:color w:val="000000"/>
          <w:sz w:val="22"/>
        </w:rPr>
      </w:pPr>
    </w:p>
    <w:p w14:paraId="126774C7"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Fully develop a model for the effectiveness of discrete roughness to suppress turbulent transition and ensure the validation of test articles in wind tunnel tests that will involve a test article that is large enough to provide better measurement of spatial resolution and reduce edge effects. Use the quantitatively same background surface roughness from Phase I. For the different roughness cases, perform experiments that measure the turbulent transition location, verify that the mechanism of transition involves a cross-flow instability, and includes both surface visualization and off-wall measurements in 3-D space within the boundary layer. With the added spatial resolution of the larger model, place special emphasis on off-wall measurements within the boundary layer. Specifically focus experiments  on interaction between stationary and traveling cross-flow modes, with the latter possibly energized by the higher disturbance levels produced by the roughness. Use these results to form the basis for the design of discrete roughness model to suppress turbulent transition.</w:t>
      </w:r>
    </w:p>
    <w:p w14:paraId="25F79EAE" w14:textId="77777777" w:rsidR="00C9232E" w:rsidRPr="00D0206E" w:rsidRDefault="00C9232E" w:rsidP="00C9232E">
      <w:pPr>
        <w:rPr>
          <w:rFonts w:eastAsia="Times New Roman" w:cs="Times New Roman"/>
          <w:noProof/>
          <w:color w:val="000000"/>
          <w:sz w:val="22"/>
        </w:rPr>
      </w:pPr>
    </w:p>
    <w:p w14:paraId="278F4F61"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In addition to the experiments, develop simulations that are intended to be an analog to the wind tunnel experiments. Ensure that the simulations’ initial conditions match the experimental conditions, and include descriptions of the background roughness from Phase I. Compare the results of the simulations  directly with those in the experiments. Assuming experimental validation of the simulations, use it to further optimize the discrete roughness transition control. Prepare a Phase III development plan to transition the technology for Navy use and potential commercial use.   </w:t>
      </w:r>
    </w:p>
    <w:p w14:paraId="3FE511BB" w14:textId="77777777" w:rsidR="00C9232E" w:rsidRPr="00D0206E" w:rsidRDefault="00C9232E" w:rsidP="00C9232E">
      <w:pPr>
        <w:rPr>
          <w:rFonts w:eastAsia="Times New Roman" w:cs="Times New Roman"/>
          <w:noProof/>
          <w:color w:val="000000"/>
          <w:sz w:val="22"/>
        </w:rPr>
      </w:pPr>
    </w:p>
    <w:p w14:paraId="51E61670"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02F7A8EC" w14:textId="77777777" w:rsidR="00C9232E" w:rsidRPr="00D0206E" w:rsidRDefault="00C9232E" w:rsidP="00C9232E">
      <w:pPr>
        <w:rPr>
          <w:rFonts w:eastAsia="Times New Roman" w:cs="Times New Roman"/>
          <w:color w:val="000000"/>
          <w:sz w:val="22"/>
        </w:rPr>
      </w:pPr>
    </w:p>
    <w:p w14:paraId="72181E3A"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lastRenderedPageBreak/>
        <w:t xml:space="preserve">PHASE III DUAL USE APPLICATIONS: </w:t>
      </w:r>
      <w:r w:rsidRPr="00D0206E">
        <w:rPr>
          <w:rFonts w:eastAsia="Times New Roman" w:cs="Times New Roman"/>
          <w:noProof/>
          <w:color w:val="000000"/>
          <w:sz w:val="22"/>
        </w:rPr>
        <w:t>Conduct necessary qualification testing of the laminar-transition control method to merit further investment and consideration for military HV platforms. Work together with an OEM (original equipment manufacturer) to develop a business plan and seek necessary investment to support the product/process/service for the OEM military provider. This effort may have application to reentry vehicles operated by NASA or other organizations in addition to vehicles operating at trans-sonic and supersonic velocities.</w:t>
      </w:r>
    </w:p>
    <w:p w14:paraId="224C95A1" w14:textId="77777777" w:rsidR="00C9232E" w:rsidRPr="00D0206E" w:rsidRDefault="00C9232E" w:rsidP="00C9232E">
      <w:pPr>
        <w:rPr>
          <w:rFonts w:eastAsia="Times New Roman" w:cs="Times New Roman"/>
          <w:color w:val="000000"/>
          <w:sz w:val="22"/>
        </w:rPr>
      </w:pPr>
    </w:p>
    <w:p w14:paraId="6F1503F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14455F8A" w14:textId="0D9B1F96"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Corke, T.,A.,E and Semper, M. “Control of stationary cross-Flow modes in a mach 6 boundary layer using patterned roughness.” J. Fluid Mech., 856, 2018, pp. 822-849. DOI: </w:t>
      </w:r>
      <w:hyperlink r:id="rId208" w:history="1">
        <w:r w:rsidR="002F21A9" w:rsidRPr="007743A7">
          <w:rPr>
            <w:rStyle w:val="Hyperlink"/>
            <w:rFonts w:eastAsia="Times New Roman" w:cs="Times New Roman"/>
            <w:noProof/>
            <w:sz w:val="22"/>
          </w:rPr>
          <w:t>https://doi.org/10.1017/jfm.2018.636</w:t>
        </w:r>
      </w:hyperlink>
      <w:r w:rsidR="002F21A9">
        <w:rPr>
          <w:rFonts w:eastAsia="Times New Roman" w:cs="Times New Roman"/>
          <w:noProof/>
          <w:color w:val="000000"/>
          <w:sz w:val="22"/>
        </w:rPr>
        <w:t xml:space="preserve"> </w:t>
      </w:r>
    </w:p>
    <w:p w14:paraId="2E9B6A76" w14:textId="77777777" w:rsidR="00632C03" w:rsidRDefault="00632C03" w:rsidP="00C9232E">
      <w:pPr>
        <w:rPr>
          <w:rFonts w:eastAsia="Times New Roman" w:cs="Times New Roman"/>
          <w:noProof/>
          <w:color w:val="000000"/>
          <w:sz w:val="22"/>
        </w:rPr>
      </w:pPr>
    </w:p>
    <w:p w14:paraId="446EF817" w14:textId="671971DF"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Schuele, C.Y. Corke, T. and Matlis, E. “Control of Stationary Cross-Flow Modes in a Mach 3.5 Boundary Layer Using Patterned Passive and Active Roughness.” J. Fluid Mech., 718, 2013, pp. 5-38. DOI: </w:t>
      </w:r>
      <w:hyperlink r:id="rId209" w:history="1">
        <w:r w:rsidR="002F21A9" w:rsidRPr="007743A7">
          <w:rPr>
            <w:rStyle w:val="Hyperlink"/>
            <w:rFonts w:eastAsia="Times New Roman" w:cs="Times New Roman"/>
            <w:noProof/>
            <w:sz w:val="22"/>
          </w:rPr>
          <w:t>https://doi.org/10.1017/jfm.2012.579</w:t>
        </w:r>
      </w:hyperlink>
      <w:r w:rsidR="002F21A9">
        <w:rPr>
          <w:rFonts w:eastAsia="Times New Roman" w:cs="Times New Roman"/>
          <w:noProof/>
          <w:color w:val="000000"/>
          <w:sz w:val="22"/>
        </w:rPr>
        <w:t xml:space="preserve"> </w:t>
      </w:r>
    </w:p>
    <w:p w14:paraId="703064B7" w14:textId="77777777" w:rsidR="00C9232E" w:rsidRPr="00D0206E" w:rsidRDefault="00C9232E" w:rsidP="00C9232E">
      <w:pPr>
        <w:rPr>
          <w:rFonts w:eastAsia="Times New Roman" w:cs="Times New Roman"/>
          <w:color w:val="000000"/>
          <w:sz w:val="22"/>
        </w:rPr>
      </w:pPr>
    </w:p>
    <w:p w14:paraId="0B94C2E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Hypersonic Vehicles, Laminar-Turbulent Transition, Transition Control, Surface Roughness, Wind Tunnel, Transition Reynolds Number</w:t>
      </w:r>
    </w:p>
    <w:p w14:paraId="65070770" w14:textId="77777777" w:rsidR="00C9232E" w:rsidRPr="00D0206E" w:rsidRDefault="00C9232E" w:rsidP="00C9232E">
      <w:pPr>
        <w:rPr>
          <w:rFonts w:eastAsia="Times New Roman" w:cs="Times New Roman"/>
          <w:color w:val="000000"/>
          <w:sz w:val="22"/>
        </w:rPr>
      </w:pPr>
    </w:p>
    <w:p w14:paraId="0DD193D8" w14:textId="77777777" w:rsidR="00C9232E" w:rsidRPr="00D0206E" w:rsidRDefault="00C9232E" w:rsidP="00C9232E">
      <w:pPr>
        <w:tabs>
          <w:tab w:val="left" w:pos="1260"/>
        </w:tabs>
        <w:ind w:left="270"/>
        <w:rPr>
          <w:rFonts w:eastAsia="Times New Roman" w:cs="Times New Roman"/>
          <w:color w:val="000000"/>
          <w:sz w:val="22"/>
        </w:rPr>
      </w:pPr>
    </w:p>
    <w:p w14:paraId="3C218994" w14:textId="77777777" w:rsidR="00C9232E" w:rsidRPr="00D0206E" w:rsidRDefault="00C9232E" w:rsidP="00C9232E">
      <w:pPr>
        <w:tabs>
          <w:tab w:val="left" w:pos="1260"/>
        </w:tabs>
        <w:ind w:left="270"/>
        <w:rPr>
          <w:rFonts w:eastAsia="Times New Roman" w:cs="Times New Roman"/>
          <w:color w:val="000000"/>
          <w:sz w:val="22"/>
        </w:rPr>
      </w:pPr>
    </w:p>
    <w:p w14:paraId="6DA7D0E0" w14:textId="77777777" w:rsidR="00C9232E" w:rsidRPr="00D0206E" w:rsidRDefault="00C9232E" w:rsidP="00C9232E">
      <w:pPr>
        <w:tabs>
          <w:tab w:val="left" w:pos="1260"/>
        </w:tabs>
        <w:ind w:left="270"/>
        <w:rPr>
          <w:rFonts w:eastAsia="Times New Roman" w:cs="Times New Roman"/>
          <w:color w:val="000000"/>
          <w:sz w:val="22"/>
        </w:rPr>
      </w:pPr>
    </w:p>
    <w:p w14:paraId="5A05009C" w14:textId="77777777" w:rsidR="00C9232E" w:rsidRPr="00D0206E" w:rsidRDefault="00C9232E" w:rsidP="00C9232E">
      <w:pPr>
        <w:tabs>
          <w:tab w:val="left" w:pos="1260"/>
        </w:tabs>
        <w:ind w:left="270"/>
        <w:rPr>
          <w:rFonts w:eastAsia="Times New Roman" w:cs="Times New Roman"/>
          <w:color w:val="000000"/>
          <w:sz w:val="22"/>
        </w:rPr>
      </w:pPr>
    </w:p>
    <w:p w14:paraId="0CF5356B" w14:textId="77777777" w:rsidR="00C9232E" w:rsidRPr="00D0206E" w:rsidRDefault="00C9232E" w:rsidP="00C9232E">
      <w:pPr>
        <w:rPr>
          <w:rFonts w:eastAsia="Times New Roman" w:cs="Times New Roman"/>
          <w:color w:val="000000"/>
          <w:sz w:val="22"/>
        </w:rPr>
      </w:pPr>
    </w:p>
    <w:p w14:paraId="360F0E0F" w14:textId="77777777" w:rsidR="00C9232E" w:rsidRPr="00D0206E" w:rsidRDefault="00C9232E" w:rsidP="00C9232E">
      <w:pPr>
        <w:rPr>
          <w:rFonts w:eastAsia="Times New Roman" w:cs="Times New Roman"/>
          <w:color w:val="000000"/>
          <w:sz w:val="22"/>
        </w:rPr>
      </w:pPr>
    </w:p>
    <w:p w14:paraId="7A9B1429"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0E0941DF" w14:textId="421DF77E" w:rsidR="00C9232E" w:rsidRPr="00D0206E" w:rsidRDefault="005E68F4" w:rsidP="00C9232E">
      <w:pPr>
        <w:tabs>
          <w:tab w:val="left" w:pos="1260"/>
        </w:tabs>
        <w:ind w:left="270"/>
        <w:rPr>
          <w:rFonts w:eastAsia="Times New Roman" w:cs="Times New Roman"/>
          <w:color w:val="000000"/>
          <w:sz w:val="22"/>
        </w:rPr>
      </w:pPr>
      <w:r w:rsidRPr="005E68F4">
        <w:rPr>
          <w:rFonts w:eastAsia="Times New Roman" w:cs="Times New Roman"/>
          <w:noProof/>
          <w:color w:val="000000"/>
          <w:sz w:val="22"/>
        </w:rPr>
        <w:lastRenderedPageBreak/>
        <w:t>N202-142</w:t>
      </w:r>
      <w:r w:rsidRPr="005E68F4">
        <w:rPr>
          <w:rFonts w:eastAsia="Times New Roman" w:cs="Times New Roman"/>
          <w:noProof/>
          <w:color w:val="000000"/>
          <w:sz w:val="22"/>
        </w:rPr>
        <w:tab/>
        <w:t>[Navy has removed topic N202-142 from the 20.2 SBIR BAA]</w:t>
      </w:r>
    </w:p>
    <w:p w14:paraId="1430C515" w14:textId="77777777" w:rsidR="00C9232E" w:rsidRPr="00D0206E" w:rsidRDefault="00C9232E" w:rsidP="00C9232E">
      <w:pPr>
        <w:tabs>
          <w:tab w:val="left" w:pos="1260"/>
        </w:tabs>
        <w:ind w:left="270"/>
        <w:rPr>
          <w:rFonts w:eastAsia="Times New Roman" w:cs="Times New Roman"/>
          <w:color w:val="000000"/>
          <w:sz w:val="22"/>
        </w:rPr>
      </w:pPr>
    </w:p>
    <w:p w14:paraId="2E056B88" w14:textId="77777777" w:rsidR="00C9232E" w:rsidRPr="00D0206E" w:rsidRDefault="00C9232E" w:rsidP="00C9232E">
      <w:pPr>
        <w:rPr>
          <w:rFonts w:eastAsia="Times New Roman" w:cs="Times New Roman"/>
          <w:color w:val="000000"/>
          <w:sz w:val="22"/>
        </w:rPr>
      </w:pPr>
    </w:p>
    <w:p w14:paraId="20FAFD07" w14:textId="77777777" w:rsidR="00C9232E" w:rsidRPr="00D0206E" w:rsidRDefault="00C9232E" w:rsidP="00C9232E">
      <w:pPr>
        <w:rPr>
          <w:rFonts w:eastAsia="Times New Roman" w:cs="Times New Roman"/>
          <w:color w:val="000000"/>
          <w:sz w:val="22"/>
        </w:rPr>
      </w:pPr>
    </w:p>
    <w:p w14:paraId="57C9A6FF"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6E1859FA"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N202-143</w:t>
      </w:r>
      <w:r w:rsidRPr="00D0206E">
        <w:rPr>
          <w:rFonts w:eastAsia="Times New Roman" w:cs="Times New Roman"/>
          <w:color w:val="000000"/>
          <w:sz w:val="22"/>
        </w:rPr>
        <w:tab/>
        <w:t xml:space="preserve">TITLE: </w:t>
      </w:r>
      <w:r w:rsidRPr="00D0206E">
        <w:rPr>
          <w:rFonts w:eastAsia="Times New Roman" w:cs="Times New Roman"/>
          <w:noProof/>
          <w:color w:val="000000"/>
          <w:sz w:val="22"/>
        </w:rPr>
        <w:t>Plasma Switches and Antennas for Contested Electromagnetic Environments</w:t>
      </w:r>
    </w:p>
    <w:p w14:paraId="3740C7C1" w14:textId="77777777" w:rsidR="00C9232E" w:rsidRPr="00D0206E" w:rsidRDefault="00C9232E" w:rsidP="00C9232E">
      <w:pPr>
        <w:rPr>
          <w:rFonts w:eastAsia="Times New Roman" w:cs="Times New Roman"/>
          <w:color w:val="000000"/>
          <w:sz w:val="22"/>
        </w:rPr>
      </w:pPr>
    </w:p>
    <w:p w14:paraId="4B3BFB5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General Warfighting Requirements (GWR)</w:t>
      </w:r>
    </w:p>
    <w:p w14:paraId="5727578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Materials</w:t>
      </w:r>
    </w:p>
    <w:p w14:paraId="1B56DFF2" w14:textId="77777777" w:rsidR="00C9232E" w:rsidRPr="00D0206E" w:rsidRDefault="00C9232E" w:rsidP="00C9232E">
      <w:pPr>
        <w:rPr>
          <w:rFonts w:eastAsia="Times New Roman" w:cs="Times New Roman"/>
          <w:noProof/>
          <w:color w:val="000000"/>
          <w:sz w:val="22"/>
        </w:rPr>
      </w:pPr>
    </w:p>
    <w:p w14:paraId="6ED9F5F7"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BE07A1" w14:textId="77777777" w:rsidR="00C9232E" w:rsidRPr="00D0206E" w:rsidRDefault="00C9232E" w:rsidP="00C9232E">
      <w:pPr>
        <w:rPr>
          <w:rFonts w:eastAsia="Times New Roman" w:cs="Times New Roman"/>
          <w:color w:val="000000"/>
          <w:sz w:val="22"/>
        </w:rPr>
      </w:pPr>
    </w:p>
    <w:p w14:paraId="273791E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novel compact and inexpensive plasma-based widely tunable frequency impedance elements (plasma switches) and antennas capable of sustained high-power operation in contested/denied electromagnetic (L- and S-bands) environments.</w:t>
      </w:r>
    </w:p>
    <w:p w14:paraId="19E5A377" w14:textId="77777777" w:rsidR="00C9232E" w:rsidRPr="00D0206E" w:rsidRDefault="00C9232E" w:rsidP="00C9232E">
      <w:pPr>
        <w:rPr>
          <w:rFonts w:eastAsia="Times New Roman" w:cs="Times New Roman"/>
          <w:color w:val="000000"/>
          <w:sz w:val="22"/>
        </w:rPr>
      </w:pPr>
    </w:p>
    <w:p w14:paraId="19BCBD7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 xml:space="preserve">In the increasingly contested electromagnetic environment, Navy communication and guidance systems must have the capability to rapidly close the transmission “frequency window” when faced with electromagnetic threats, such as jamming or high-power microwave (HPM) weapons. Additionally, when faced with high-power electromagnetic threats, the communication and guidance systems should have the capability of being rapidly tuned to a different frequency outside the frequency range of the threat. </w:t>
      </w:r>
    </w:p>
    <w:p w14:paraId="78BD184D" w14:textId="77777777" w:rsidR="00C9232E" w:rsidRPr="00D0206E" w:rsidRDefault="00C9232E" w:rsidP="00C9232E">
      <w:pPr>
        <w:rPr>
          <w:rFonts w:eastAsia="Times New Roman" w:cs="Times New Roman"/>
          <w:noProof/>
          <w:color w:val="000000"/>
          <w:sz w:val="22"/>
        </w:rPr>
      </w:pPr>
    </w:p>
    <w:p w14:paraId="095A4A4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While various technologies, including those based on semiconductors, ferrites, mechanical devices, etc., have been proposed to address these needs, the devices based on those technologies are bulky, have generally high insertion losses, and have either slow responses or are easily damaged when operating at high power levels.</w:t>
      </w:r>
    </w:p>
    <w:p w14:paraId="67DFFC20" w14:textId="77777777" w:rsidR="00C9232E" w:rsidRPr="00D0206E" w:rsidRDefault="00C9232E" w:rsidP="00C9232E">
      <w:pPr>
        <w:rPr>
          <w:rFonts w:eastAsia="Times New Roman" w:cs="Times New Roman"/>
          <w:noProof/>
          <w:color w:val="000000"/>
          <w:sz w:val="22"/>
        </w:rPr>
      </w:pPr>
    </w:p>
    <w:p w14:paraId="16D8474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Devices based on low-temperature plasmas are promising for tunable high-power limiters and impedance elements. Plasma discharges can be turned on and their properties can be changed rapidly, on a nanosecond time scale. Insertion losses of such devices can be very low. Commercially available sealed plasma devices are also compact and inexpensive and have been shown to be robust in prolonged operation at Very High Frequency (VHF) to gigahertz (GHz) range frequencies; however, the characteristics of the gas mixtures are proprietary, and limited to a few commercially available sources with limited information on the plasma characteristics. The electromagnetic properties of plasma discharges are quite rich, combining resistive, inductive, and capacitive behavior, and those properties can be varied widely by, e.g., controlling the excitation waveform and power, applying a bias, and placing the plasma discharge in a resonant structure. Research aimed at understanding, characterizing, and evaluating such behavior is critical for the development of plasma-based limiters and switches, focused on improving performance and flexibility in a contested Radio Frequency (RF) environment.</w:t>
      </w:r>
    </w:p>
    <w:p w14:paraId="0232EE46" w14:textId="77777777" w:rsidR="00C9232E" w:rsidRPr="00D0206E" w:rsidRDefault="00C9232E" w:rsidP="00C9232E">
      <w:pPr>
        <w:rPr>
          <w:rFonts w:eastAsia="Times New Roman" w:cs="Times New Roman"/>
          <w:noProof/>
          <w:color w:val="000000"/>
          <w:sz w:val="22"/>
        </w:rPr>
      </w:pPr>
    </w:p>
    <w:p w14:paraId="76EB9C7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Based on previous research and development (References 1-3), the plasma-based switches and antennas should be frequency-tunable in a wide range (over an octave) and operate at a power level of over 100 Watts (W), but capabilities that have not yet been demonstrated. Radiation at this power level would enable multiple use-cases relevant to Navy operations.</w:t>
      </w:r>
    </w:p>
    <w:p w14:paraId="47DF55EE" w14:textId="77777777" w:rsidR="00C9232E" w:rsidRPr="00D0206E" w:rsidRDefault="00C9232E" w:rsidP="00C9232E">
      <w:pPr>
        <w:rPr>
          <w:rFonts w:eastAsia="Times New Roman" w:cs="Times New Roman"/>
          <w:noProof/>
          <w:color w:val="000000"/>
          <w:sz w:val="22"/>
        </w:rPr>
      </w:pPr>
    </w:p>
    <w:p w14:paraId="5DF0793B"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Phase II effort will likely require secure access, and NAVSEA will process the DD254 to support the contractor for personnel and facility certification for secure access. The Phase I effort will not require </w:t>
      </w:r>
      <w:r w:rsidRPr="00D0206E">
        <w:rPr>
          <w:rFonts w:eastAsia="Times New Roman" w:cs="Times New Roman"/>
          <w:noProof/>
          <w:color w:val="000000"/>
          <w:sz w:val="22"/>
        </w:rPr>
        <w:lastRenderedPageBreak/>
        <w:t>access to classified information. If need be, data of the same level of complexity as secured data will be provided to support Phase I work.</w:t>
      </w:r>
    </w:p>
    <w:p w14:paraId="6D67AA3E" w14:textId="77777777" w:rsidR="00C9232E" w:rsidRPr="00D0206E" w:rsidRDefault="00C9232E" w:rsidP="00C9232E">
      <w:pPr>
        <w:rPr>
          <w:rFonts w:eastAsia="Times New Roman" w:cs="Times New Roman"/>
          <w:noProof/>
          <w:color w:val="000000"/>
          <w:sz w:val="22"/>
        </w:rPr>
      </w:pPr>
    </w:p>
    <w:p w14:paraId="3CFAF63F"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2C5B41E" w14:textId="77777777" w:rsidR="00C9232E" w:rsidRPr="00D0206E" w:rsidRDefault="00C9232E" w:rsidP="00C9232E">
      <w:pPr>
        <w:rPr>
          <w:rFonts w:eastAsia="Times New Roman" w:cs="Times New Roman"/>
          <w:color w:val="000000"/>
          <w:sz w:val="22"/>
        </w:rPr>
      </w:pPr>
    </w:p>
    <w:p w14:paraId="759BA59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Determine the technical feasibility of a concept by designing (a) an octave-tunable plasma switch capable of operation at 100 W, and (b) an octave-tunable antenna and/or antenna array that would effectively utilize such a switch. Begin characterization of radiation properties at this power level within the tunable frequency range.</w:t>
      </w:r>
    </w:p>
    <w:p w14:paraId="6F2C384B" w14:textId="77777777" w:rsidR="00C9232E" w:rsidRPr="00D0206E" w:rsidRDefault="00C9232E" w:rsidP="00C9232E">
      <w:pPr>
        <w:rPr>
          <w:rFonts w:eastAsia="Times New Roman" w:cs="Times New Roman"/>
          <w:noProof/>
          <w:color w:val="000000"/>
          <w:sz w:val="22"/>
        </w:rPr>
      </w:pPr>
    </w:p>
    <w:p w14:paraId="0E788D0F"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Phase I Option, if exercised, will include the initial design specifications and identify risks and propose a plan to mitigate the risks in Phase II. Prepare a Phase II plan.</w:t>
      </w:r>
    </w:p>
    <w:p w14:paraId="41C83D02" w14:textId="77777777" w:rsidR="00C9232E" w:rsidRPr="00D0206E" w:rsidRDefault="00C9232E" w:rsidP="00C9232E">
      <w:pPr>
        <w:rPr>
          <w:rFonts w:eastAsia="Times New Roman" w:cs="Times New Roman"/>
          <w:color w:val="000000"/>
          <w:sz w:val="22"/>
        </w:rPr>
      </w:pPr>
    </w:p>
    <w:p w14:paraId="39D95749"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Develop, characterize, and demonstrate a frequency-tunable plasma antenna and/or antenna array operating above 100 W and with a plasma switch that enables an octave frequency tuning at all power levels. Develop and validate a model to describe the plasma behavior in these devices. Develop optimal designs for both the switch and antenna using the model, given relevant use cases. Characterize the device lifetime under extreme thermal and shock conditions expected in applications. Prepare a Phase III development plan to transition the technology for Navy use and potential commercial use.</w:t>
      </w:r>
    </w:p>
    <w:p w14:paraId="61F65206"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41B5AD76"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71CC5650" w14:textId="77777777" w:rsidR="00C9232E" w:rsidRPr="00D0206E" w:rsidRDefault="00C9232E" w:rsidP="00C9232E">
      <w:pPr>
        <w:rPr>
          <w:rFonts w:eastAsia="Times New Roman" w:cs="Times New Roman"/>
          <w:color w:val="000000"/>
          <w:sz w:val="22"/>
        </w:rPr>
      </w:pPr>
    </w:p>
    <w:p w14:paraId="47184215"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Refine the designs developed in Phase II. Work with the Navy on integration of the devices into the application platforms and testing their performance in the relevant conditions. Based on the integration and testing, further refine the designs.</w:t>
      </w:r>
    </w:p>
    <w:p w14:paraId="08AC05C3" w14:textId="77777777" w:rsidR="00C9232E" w:rsidRPr="00D0206E" w:rsidRDefault="00C9232E" w:rsidP="00C9232E">
      <w:pPr>
        <w:rPr>
          <w:rFonts w:eastAsia="Times New Roman" w:cs="Times New Roman"/>
          <w:noProof/>
          <w:color w:val="000000"/>
          <w:sz w:val="22"/>
        </w:rPr>
      </w:pPr>
    </w:p>
    <w:p w14:paraId="4A65AD0E"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The tunable high-power plasma switches and antennas are expected to be applicable for non-military applications such as cell phone towers.</w:t>
      </w:r>
    </w:p>
    <w:p w14:paraId="39ACDA29" w14:textId="77777777" w:rsidR="00C9232E" w:rsidRPr="00D0206E" w:rsidRDefault="00C9232E" w:rsidP="00C9232E">
      <w:pPr>
        <w:rPr>
          <w:rFonts w:eastAsia="Times New Roman" w:cs="Times New Roman"/>
          <w:color w:val="000000"/>
          <w:sz w:val="22"/>
        </w:rPr>
      </w:pPr>
    </w:p>
    <w:p w14:paraId="373A3C3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50243A2E" w14:textId="029468C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Semnani, A., Peroulis, D. and Macheret, S. “Plasma-Enabled Tuning of a Resonant LC Circuit.” IEEE Transactions on Plasma Science, Vol. 44, No. 8, Part 2, 2016, pp. 1396-1404. </w:t>
      </w:r>
      <w:hyperlink r:id="rId210" w:history="1">
        <w:r w:rsidR="002F21A9" w:rsidRPr="007743A7">
          <w:rPr>
            <w:rStyle w:val="Hyperlink"/>
            <w:rFonts w:eastAsia="Times New Roman" w:cs="Times New Roman"/>
            <w:noProof/>
            <w:sz w:val="22"/>
          </w:rPr>
          <w:t>https://ieeexplore.ieee.org/document/7516629</w:t>
        </w:r>
      </w:hyperlink>
      <w:r w:rsidR="002F21A9">
        <w:rPr>
          <w:rFonts w:eastAsia="Times New Roman" w:cs="Times New Roman"/>
          <w:noProof/>
          <w:color w:val="000000"/>
          <w:sz w:val="22"/>
        </w:rPr>
        <w:t xml:space="preserve"> </w:t>
      </w:r>
    </w:p>
    <w:p w14:paraId="5E80D6CB" w14:textId="77777777" w:rsidR="001560B7" w:rsidRDefault="001560B7" w:rsidP="00C9232E">
      <w:pPr>
        <w:rPr>
          <w:rFonts w:eastAsia="Times New Roman" w:cs="Times New Roman"/>
          <w:noProof/>
          <w:color w:val="000000"/>
          <w:sz w:val="22"/>
        </w:rPr>
      </w:pPr>
    </w:p>
    <w:p w14:paraId="18D8E5C2" w14:textId="2AAE1281"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Semnani, A., Peroulis, D. and Macheret, S. “A High-Power Widely Tunable Limiter Utilizing an Evanescent-Mode Cavity Resonator Loaded With a Gas Discharge Tube.” IEEE Transactions on Plasma Science, Vol. 44, No. 12, 2016, pp. 3271 3280. </w:t>
      </w:r>
      <w:hyperlink r:id="rId211" w:history="1">
        <w:r w:rsidR="002F21A9" w:rsidRPr="007743A7">
          <w:rPr>
            <w:rStyle w:val="Hyperlink"/>
            <w:rFonts w:eastAsia="Times New Roman" w:cs="Times New Roman"/>
            <w:noProof/>
            <w:sz w:val="22"/>
          </w:rPr>
          <w:t>https://ieeexplore.ieee.org/document/7756341</w:t>
        </w:r>
      </w:hyperlink>
      <w:r w:rsidR="002F21A9">
        <w:rPr>
          <w:rFonts w:eastAsia="Times New Roman" w:cs="Times New Roman"/>
          <w:noProof/>
          <w:color w:val="000000"/>
          <w:sz w:val="22"/>
        </w:rPr>
        <w:t xml:space="preserve"> </w:t>
      </w:r>
    </w:p>
    <w:p w14:paraId="613F632A" w14:textId="77777777" w:rsidR="001560B7" w:rsidRDefault="001560B7" w:rsidP="00C9232E">
      <w:pPr>
        <w:rPr>
          <w:rFonts w:eastAsia="Times New Roman" w:cs="Times New Roman"/>
          <w:noProof/>
          <w:color w:val="000000"/>
          <w:sz w:val="22"/>
        </w:rPr>
      </w:pPr>
    </w:p>
    <w:p w14:paraId="4C4D7D88" w14:textId="2B0B9451" w:rsidR="001560B7" w:rsidRDefault="00C9232E" w:rsidP="00C9232E">
      <w:pPr>
        <w:rPr>
          <w:rFonts w:eastAsia="Times New Roman" w:cs="Times New Roman"/>
          <w:noProof/>
          <w:color w:val="000000"/>
          <w:sz w:val="22"/>
        </w:rPr>
      </w:pPr>
      <w:r w:rsidRPr="00D0206E">
        <w:rPr>
          <w:rFonts w:eastAsia="Times New Roman" w:cs="Times New Roman"/>
          <w:noProof/>
          <w:color w:val="000000"/>
          <w:sz w:val="22"/>
        </w:rPr>
        <w:t>3. Semnani, A., Macheret, S. and Peroulis, D. “A Quasi-Absorptive Microwave Resonant Plasma Switch for High-Power Applications.” IEEE Transactions on Microwave Theory and Techniques, Vol. 44, No. 12, May 2018, pp. 1 9. doi: 10.1109/TMTT.2018.2834925</w:t>
      </w:r>
      <w:r w:rsidR="002F21A9">
        <w:rPr>
          <w:rFonts w:eastAsia="Times New Roman" w:cs="Times New Roman"/>
          <w:noProof/>
          <w:color w:val="000000"/>
          <w:sz w:val="22"/>
        </w:rPr>
        <w:t xml:space="preserve">  </w:t>
      </w:r>
    </w:p>
    <w:p w14:paraId="43EE6EDF" w14:textId="77777777" w:rsidR="001560B7" w:rsidRDefault="001560B7" w:rsidP="00C9232E">
      <w:pPr>
        <w:rPr>
          <w:rFonts w:eastAsia="Times New Roman" w:cs="Times New Roman"/>
          <w:noProof/>
          <w:color w:val="000000"/>
          <w:sz w:val="22"/>
        </w:rPr>
      </w:pPr>
    </w:p>
    <w:p w14:paraId="53F2FE4B" w14:textId="124B3355"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 xml:space="preserve">4. Khomenko A. and Macheret, S. “Capacitively coupled radio-frequency discharge in alpha-mode as a variable capacitor.” Journal of Physics D: Applied Physics, Vol. 52, No. 44. </w:t>
      </w:r>
      <w:hyperlink r:id="rId212" w:history="1">
        <w:r w:rsidR="002F21A9" w:rsidRPr="007743A7">
          <w:rPr>
            <w:rStyle w:val="Hyperlink"/>
            <w:rFonts w:eastAsia="Times New Roman" w:cs="Times New Roman"/>
            <w:noProof/>
            <w:sz w:val="22"/>
          </w:rPr>
          <w:t>https://doi.org/10.1088/1361-6463/ab3367</w:t>
        </w:r>
      </w:hyperlink>
      <w:r w:rsidR="002F21A9">
        <w:rPr>
          <w:rFonts w:eastAsia="Times New Roman" w:cs="Times New Roman"/>
          <w:noProof/>
          <w:color w:val="000000"/>
          <w:sz w:val="22"/>
        </w:rPr>
        <w:t xml:space="preserve"> </w:t>
      </w:r>
    </w:p>
    <w:p w14:paraId="2C1273A4" w14:textId="77777777" w:rsidR="00C9232E" w:rsidRPr="00D0206E" w:rsidRDefault="00C9232E" w:rsidP="00C9232E">
      <w:pPr>
        <w:rPr>
          <w:rFonts w:eastAsia="Times New Roman" w:cs="Times New Roman"/>
          <w:color w:val="000000"/>
          <w:sz w:val="22"/>
        </w:rPr>
      </w:pPr>
    </w:p>
    <w:p w14:paraId="5AEB1FBC" w14:textId="77777777" w:rsidR="00C9232E" w:rsidRPr="00D0206E" w:rsidRDefault="00C9232E" w:rsidP="00C9232E">
      <w:pPr>
        <w:rPr>
          <w:rFonts w:eastAsia="Times New Roman" w:cs="Times New Roman"/>
          <w:color w:val="000000"/>
          <w:sz w:val="22"/>
        </w:rPr>
      </w:pPr>
    </w:p>
    <w:p w14:paraId="092D623E"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Rapidly Tuned Impedance Elements, Plasma, Plasma Discharges, Plasma-based Switch, Plasma-based Limiter, Antennas, Antenna Arrays</w:t>
      </w:r>
    </w:p>
    <w:p w14:paraId="0113EDE4" w14:textId="77777777" w:rsidR="00C9232E" w:rsidRPr="00D0206E" w:rsidRDefault="00C9232E" w:rsidP="00C9232E">
      <w:pPr>
        <w:tabs>
          <w:tab w:val="left" w:pos="1260"/>
        </w:tabs>
        <w:ind w:left="270"/>
        <w:rPr>
          <w:rFonts w:eastAsia="Times New Roman" w:cs="Times New Roman"/>
          <w:color w:val="000000"/>
          <w:sz w:val="22"/>
        </w:rPr>
      </w:pPr>
    </w:p>
    <w:p w14:paraId="7499EC10" w14:textId="77777777" w:rsidR="00C9232E" w:rsidRPr="00D0206E" w:rsidRDefault="00C9232E" w:rsidP="00C9232E">
      <w:pPr>
        <w:tabs>
          <w:tab w:val="left" w:pos="1260"/>
        </w:tabs>
        <w:ind w:left="270"/>
        <w:rPr>
          <w:rFonts w:eastAsia="Times New Roman" w:cs="Times New Roman"/>
          <w:color w:val="000000"/>
          <w:sz w:val="22"/>
        </w:rPr>
      </w:pPr>
    </w:p>
    <w:p w14:paraId="50021068" w14:textId="77777777" w:rsidR="00C9232E" w:rsidRPr="00D0206E" w:rsidRDefault="00C9232E" w:rsidP="00C9232E">
      <w:pPr>
        <w:tabs>
          <w:tab w:val="left" w:pos="1260"/>
        </w:tabs>
        <w:ind w:left="270"/>
        <w:rPr>
          <w:rFonts w:eastAsia="Times New Roman" w:cs="Times New Roman"/>
          <w:color w:val="000000"/>
          <w:sz w:val="22"/>
        </w:rPr>
      </w:pPr>
    </w:p>
    <w:p w14:paraId="7A3C4F0D" w14:textId="77777777" w:rsidR="00C9232E" w:rsidRPr="00D0206E" w:rsidRDefault="00C9232E" w:rsidP="00C9232E">
      <w:pPr>
        <w:rPr>
          <w:rFonts w:eastAsia="Times New Roman" w:cs="Times New Roman"/>
          <w:color w:val="000000"/>
          <w:sz w:val="22"/>
        </w:rPr>
      </w:pPr>
    </w:p>
    <w:p w14:paraId="76B1ADCA" w14:textId="77777777" w:rsidR="00C9232E" w:rsidRPr="00D0206E" w:rsidRDefault="00C9232E" w:rsidP="00C9232E">
      <w:pPr>
        <w:rPr>
          <w:rFonts w:eastAsia="Times New Roman" w:cs="Times New Roman"/>
          <w:color w:val="000000"/>
          <w:sz w:val="22"/>
        </w:rPr>
      </w:pPr>
    </w:p>
    <w:p w14:paraId="19651931"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56843B8D"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N202-144</w:t>
      </w:r>
      <w:r w:rsidRPr="00D0206E">
        <w:rPr>
          <w:rFonts w:eastAsia="Times New Roman" w:cs="Times New Roman"/>
          <w:color w:val="000000"/>
          <w:sz w:val="22"/>
        </w:rPr>
        <w:tab/>
        <w:t xml:space="preserve">TITLE: </w:t>
      </w:r>
      <w:r w:rsidRPr="00D0206E">
        <w:rPr>
          <w:rFonts w:eastAsia="Times New Roman" w:cs="Times New Roman"/>
          <w:noProof/>
          <w:color w:val="000000"/>
          <w:sz w:val="22"/>
        </w:rPr>
        <w:t>Predictive Physics-Based Model for Projectile Trajectory Instability</w:t>
      </w:r>
    </w:p>
    <w:p w14:paraId="29ED6664" w14:textId="77777777" w:rsidR="00C9232E" w:rsidRPr="00D0206E" w:rsidRDefault="00C9232E" w:rsidP="00C9232E">
      <w:pPr>
        <w:rPr>
          <w:rFonts w:eastAsia="Times New Roman" w:cs="Times New Roman"/>
          <w:color w:val="000000"/>
          <w:sz w:val="22"/>
        </w:rPr>
      </w:pPr>
    </w:p>
    <w:p w14:paraId="137DDFD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5F005EC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Weapons</w:t>
      </w:r>
    </w:p>
    <w:p w14:paraId="2C4173FB" w14:textId="77777777" w:rsidR="00C9232E" w:rsidRPr="00D0206E" w:rsidRDefault="00C9232E" w:rsidP="00C9232E">
      <w:pPr>
        <w:rPr>
          <w:rFonts w:eastAsia="Times New Roman" w:cs="Times New Roman"/>
          <w:color w:val="000000"/>
          <w:sz w:val="22"/>
        </w:rPr>
      </w:pPr>
    </w:p>
    <w:p w14:paraId="660B1CA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3581767" w14:textId="77777777" w:rsidR="00C9232E" w:rsidRPr="00D0206E" w:rsidRDefault="00C9232E" w:rsidP="00C9232E">
      <w:pPr>
        <w:rPr>
          <w:rFonts w:eastAsia="Times New Roman" w:cs="Times New Roman"/>
          <w:color w:val="000000"/>
          <w:sz w:val="22"/>
        </w:rPr>
      </w:pPr>
    </w:p>
    <w:p w14:paraId="75869C3D"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physics-based model to predict trajectory instability of a long rod penetrating semi-infinite targets.</w:t>
      </w:r>
    </w:p>
    <w:p w14:paraId="4824B77C" w14:textId="77777777" w:rsidR="00C9232E" w:rsidRPr="00D0206E" w:rsidRDefault="00C9232E" w:rsidP="00C9232E">
      <w:pPr>
        <w:rPr>
          <w:rFonts w:eastAsia="Times New Roman" w:cs="Times New Roman"/>
          <w:color w:val="000000"/>
          <w:sz w:val="22"/>
        </w:rPr>
      </w:pPr>
    </w:p>
    <w:p w14:paraId="439FFC78"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There is an urgent need to develop a physics-based model to predict this trajectory instability. In the transition zone near the point of maximum penetration depth and the onset of the semi-hydrodynamic regime, projectiles were observed to bend and yaw violently without significant mass loss. While prior works exist to model the impact response in the transition zone [Ref 1], these studies typically focused purely on the penetration depth via semi-empirical methods.</w:t>
      </w:r>
    </w:p>
    <w:p w14:paraId="6BA55B10" w14:textId="77777777" w:rsidR="00C9232E" w:rsidRPr="00D0206E" w:rsidRDefault="00C9232E" w:rsidP="00C9232E">
      <w:pPr>
        <w:rPr>
          <w:rFonts w:eastAsia="Times New Roman" w:cs="Times New Roman"/>
          <w:noProof/>
          <w:color w:val="000000"/>
          <w:sz w:val="22"/>
        </w:rPr>
      </w:pPr>
    </w:p>
    <w:p w14:paraId="41A35BFD"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The penetration depth of cylindrical projectiles into targets across a broad range of impact velocities typically exhibits three distinct regimes. At lower impact velocities, the projectile undergoes nearly rigid body penetration within the target. Towards the high end of the velocities in this regime, the maximum penetration depth is achieved. With further increasing striking velocities, the projectile begins to experience erosion and the penetration depth starts to saturate. This regime is known as the semi-hydrodynamic regime. At even higher velocities, the impact phenomenon becomes hydrodynamic where the projectile strength becomes practically negligible. </w:t>
      </w:r>
    </w:p>
    <w:p w14:paraId="330CD765" w14:textId="77777777" w:rsidR="00C9232E" w:rsidRPr="00D0206E" w:rsidRDefault="00C9232E" w:rsidP="00C9232E">
      <w:pPr>
        <w:rPr>
          <w:rFonts w:eastAsia="Times New Roman" w:cs="Times New Roman"/>
          <w:noProof/>
          <w:color w:val="000000"/>
          <w:sz w:val="22"/>
        </w:rPr>
      </w:pPr>
    </w:p>
    <w:p w14:paraId="0EB01968"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This phenomenon has been observed experimentally across a range of different target materials, including metals [Ref 2], geomaterials [Ref 3], and fluids [Ref 4], and across several different types of projectiles and shapes. This yawing and bending instability causes severe deviation from the desired trajectory, and severely limits projectile penetrating performance [Ref 2]. Stability and vibration dynamics models have long been established for slender rods moving axially in fluid [Ref 5]. Depth of penetration models focused most on solid targets.</w:t>
      </w:r>
    </w:p>
    <w:p w14:paraId="14CB6AD9" w14:textId="77777777" w:rsidR="00C9232E" w:rsidRPr="00D0206E" w:rsidRDefault="00C9232E" w:rsidP="00C9232E">
      <w:pPr>
        <w:rPr>
          <w:rFonts w:eastAsia="Times New Roman" w:cs="Times New Roman"/>
          <w:noProof/>
          <w:color w:val="000000"/>
          <w:sz w:val="22"/>
        </w:rPr>
      </w:pPr>
    </w:p>
    <w:p w14:paraId="5ACEC5EC"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proposed model aims to identify critical conditions and parameters resulting in this instability across different targets in order to optimize the penetrative capabilities of projectiles. The parameters of interest may include, but not be limited to, projectile aspect ratio, nose shape, velocity, and strength of materials that are interacting under conditions of different soil types or hardened materials, e.g., reinforced concrete.</w:t>
      </w:r>
    </w:p>
    <w:p w14:paraId="498BC653" w14:textId="77777777" w:rsidR="00C9232E" w:rsidRPr="00D0206E" w:rsidRDefault="00C9232E" w:rsidP="00C9232E">
      <w:pPr>
        <w:rPr>
          <w:rFonts w:eastAsia="Times New Roman" w:cs="Times New Roman"/>
          <w:noProof/>
          <w:color w:val="000000"/>
          <w:sz w:val="22"/>
        </w:rPr>
      </w:pPr>
    </w:p>
    <w:p w14:paraId="124444F5"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Phase II effort will likely require secure access, and SSP will process the DD254 to support the contractor for personnel and facility certification for secure access. The Phase I effort will not require access to classified information. If need be, data of the same level of complexity as secured data will be provided to support Phase I work.</w:t>
      </w:r>
    </w:p>
    <w:p w14:paraId="60162692" w14:textId="77777777" w:rsidR="00C9232E" w:rsidRPr="00D0206E" w:rsidRDefault="00C9232E" w:rsidP="00C9232E">
      <w:pPr>
        <w:rPr>
          <w:rFonts w:eastAsia="Times New Roman" w:cs="Times New Roman"/>
          <w:noProof/>
          <w:color w:val="000000"/>
          <w:sz w:val="22"/>
        </w:rPr>
      </w:pPr>
    </w:p>
    <w:p w14:paraId="4CD2986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w:t>
      </w:r>
      <w:r w:rsidRPr="00D0206E">
        <w:rPr>
          <w:rFonts w:eastAsia="Times New Roman" w:cs="Times New Roman"/>
          <w:noProof/>
          <w:color w:val="000000"/>
          <w:sz w:val="22"/>
        </w:rPr>
        <w:lastRenderedPageBreak/>
        <w:t>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62CF6A4" w14:textId="77777777" w:rsidR="00C9232E" w:rsidRPr="00D0206E" w:rsidRDefault="00C9232E" w:rsidP="00C9232E">
      <w:pPr>
        <w:rPr>
          <w:rFonts w:eastAsia="Times New Roman" w:cs="Times New Roman"/>
          <w:color w:val="000000"/>
          <w:sz w:val="22"/>
        </w:rPr>
      </w:pPr>
    </w:p>
    <w:p w14:paraId="45FEC1E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 physics-based model for long rod penetration. Identify critical conditions and parameters that affect long rod penetration into different soil types or hardened materials, e.g., reinforced concrete. Assess the viability of the model for long rod penetration to include mechanisms not inherent just in fluid flow or solid cavity expansion, such that the stability of the trajectory can be predicted, together with dominating parameters dictating the onset of instability. Compare the model prediction with typical penetration cases in this and subsequent phases to assess the feasibility of the model. The Phase I Option, if exercised, will include the initial design specifications and capabilities description to build a prototype solution in Phase II. Develop a Phase II plan.</w:t>
      </w:r>
    </w:p>
    <w:p w14:paraId="596189F7" w14:textId="77777777" w:rsidR="00C9232E" w:rsidRPr="00D0206E" w:rsidRDefault="00C9232E" w:rsidP="00C9232E">
      <w:pPr>
        <w:rPr>
          <w:rFonts w:eastAsia="Times New Roman" w:cs="Times New Roman"/>
          <w:color w:val="000000"/>
          <w:sz w:val="22"/>
        </w:rPr>
      </w:pPr>
    </w:p>
    <w:p w14:paraId="0DF6BAC6"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Model validation and critical condition determination. Design and conduct penetration experiments with flash X-ray sequence imaging for global trajectory response and Synchrotron X-ray high-speed imaging for local projectile-target interactions to validate the model. Simultaneously, document existing experimental data in literature and conduct numerical simulations on different semi-infinite target media to fine-tune the model and identify parameter critical ranges. Validate the model within the scope of the physical and numerical experiments and literature data, and that it is ready to be further developed into a design tool.</w:t>
      </w:r>
    </w:p>
    <w:p w14:paraId="4D6802F0" w14:textId="77777777" w:rsidR="00C9232E" w:rsidRPr="00D0206E" w:rsidRDefault="00C9232E" w:rsidP="00C9232E">
      <w:pPr>
        <w:rPr>
          <w:rFonts w:eastAsia="Times New Roman" w:cs="Times New Roman"/>
          <w:noProof/>
          <w:color w:val="000000"/>
          <w:sz w:val="22"/>
        </w:rPr>
      </w:pPr>
    </w:p>
    <w:p w14:paraId="2A459631"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4A9FA9F2" w14:textId="77777777" w:rsidR="00C9232E" w:rsidRPr="00D0206E" w:rsidRDefault="00C9232E" w:rsidP="00C9232E">
      <w:pPr>
        <w:rPr>
          <w:rFonts w:eastAsia="Times New Roman" w:cs="Times New Roman"/>
          <w:color w:val="000000"/>
          <w:sz w:val="22"/>
        </w:rPr>
      </w:pPr>
    </w:p>
    <w:p w14:paraId="6A478214"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 xml:space="preserve">Develop the model into a predictive tool, together with the resulting stability criteria and critical parameters, for applications involving long-rod penetration into semi-infinite targets. Perform systematic penetration experiments to expand the model application range over a variety of projectile/target combinations. Ensure that the final product is an efficient, low-cost method of design projectiles and predicting their capabilities in penetrating various semi-infinite targets. </w:t>
      </w:r>
    </w:p>
    <w:p w14:paraId="545618F3"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Applications of the final product are not limited to defense applications, as the developed model may be extended to other fields such as pile-driving in civil engineering fields.</w:t>
      </w:r>
    </w:p>
    <w:p w14:paraId="0607FA66" w14:textId="77777777" w:rsidR="00C9232E" w:rsidRPr="00D0206E" w:rsidRDefault="00C9232E" w:rsidP="00C9232E">
      <w:pPr>
        <w:rPr>
          <w:rFonts w:eastAsia="Times New Roman" w:cs="Times New Roman"/>
          <w:color w:val="000000"/>
          <w:sz w:val="22"/>
        </w:rPr>
      </w:pPr>
    </w:p>
    <w:p w14:paraId="7B1DBF8B"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3F4A22F2" w14:textId="6F9E0122"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Chen, X. &amp; Li, Q. “Transition from nondeformable projectile penetration to semihydrodynamic penetration.” J. Eng. Mech., 2003, pp. 123-127. </w:t>
      </w:r>
      <w:hyperlink r:id="rId213" w:history="1">
        <w:r w:rsidR="002F21A9" w:rsidRPr="007743A7">
          <w:rPr>
            <w:rStyle w:val="Hyperlink"/>
            <w:rFonts w:eastAsia="Times New Roman" w:cs="Times New Roman"/>
            <w:noProof/>
            <w:sz w:val="22"/>
          </w:rPr>
          <w:t>https://www.scribd.com/document/439663186/Transition-From-Non-Deformable-Projectile-Penetration-to-Semi-Hydrodynamic-Penetration</w:t>
        </w:r>
      </w:hyperlink>
      <w:r w:rsidR="002F21A9">
        <w:rPr>
          <w:rFonts w:eastAsia="Times New Roman" w:cs="Times New Roman"/>
          <w:noProof/>
          <w:color w:val="000000"/>
          <w:sz w:val="22"/>
        </w:rPr>
        <w:t xml:space="preserve"> </w:t>
      </w:r>
    </w:p>
    <w:p w14:paraId="498CC2B6" w14:textId="77777777" w:rsidR="001560B7" w:rsidRDefault="001560B7" w:rsidP="00C9232E">
      <w:pPr>
        <w:rPr>
          <w:rFonts w:eastAsia="Times New Roman" w:cs="Times New Roman"/>
          <w:noProof/>
          <w:color w:val="000000"/>
          <w:sz w:val="22"/>
        </w:rPr>
      </w:pPr>
    </w:p>
    <w:p w14:paraId="1A2B63AD" w14:textId="502B9AF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Piekutowski, A. J., Forrestal, M. J., Poormon, K. L. &amp; Warren, T. L. “Penetration of 6061-T6511 aluminum targets by ogive-nose steel projectiles with striking velocities between 0.5 and 3.0 km/s.” Int. J. Impact Eng., 23, 1999, pp. 723-734. </w:t>
      </w:r>
      <w:hyperlink r:id="rId214" w:history="1">
        <w:r w:rsidR="002F21A9" w:rsidRPr="007743A7">
          <w:rPr>
            <w:rStyle w:val="Hyperlink"/>
            <w:rFonts w:eastAsia="Times New Roman" w:cs="Times New Roman"/>
            <w:noProof/>
            <w:sz w:val="22"/>
          </w:rPr>
          <w:t>https://doi.org/10.1016/S0734-743X(99)00117-7</w:t>
        </w:r>
      </w:hyperlink>
      <w:r w:rsidR="002F21A9">
        <w:rPr>
          <w:rFonts w:eastAsia="Times New Roman" w:cs="Times New Roman"/>
          <w:noProof/>
          <w:color w:val="000000"/>
          <w:sz w:val="22"/>
        </w:rPr>
        <w:t xml:space="preserve"> </w:t>
      </w:r>
    </w:p>
    <w:p w14:paraId="557C24EB" w14:textId="77777777" w:rsidR="001560B7" w:rsidRDefault="001560B7" w:rsidP="00C9232E">
      <w:pPr>
        <w:rPr>
          <w:rFonts w:eastAsia="Times New Roman" w:cs="Times New Roman"/>
          <w:noProof/>
          <w:color w:val="000000"/>
          <w:sz w:val="22"/>
        </w:rPr>
      </w:pPr>
    </w:p>
    <w:p w14:paraId="3F231A08" w14:textId="44ADCD47" w:rsidR="001560B7"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Bivin, Y. K. &amp; Simonov, I. V. “Mechanics of dynamic penetration into soil medium.” Mech. Solids, 45, 2010, pp. 892–920. </w:t>
      </w:r>
      <w:hyperlink r:id="rId215" w:history="1">
        <w:r w:rsidR="002F21A9" w:rsidRPr="007743A7">
          <w:rPr>
            <w:rStyle w:val="Hyperlink"/>
            <w:rFonts w:eastAsia="Times New Roman" w:cs="Times New Roman"/>
            <w:noProof/>
            <w:sz w:val="22"/>
          </w:rPr>
          <w:t>https://www.semanticscholar.org/paper/Mechanics-of-dynamic-penetration-into-soil-medium-Bivin-Simonov/d8a935cc3e78d8c1f6847f93d6c8080c0c079596</w:t>
        </w:r>
      </w:hyperlink>
      <w:r w:rsidR="002F21A9">
        <w:rPr>
          <w:rFonts w:eastAsia="Times New Roman" w:cs="Times New Roman"/>
          <w:noProof/>
          <w:color w:val="000000"/>
          <w:sz w:val="22"/>
        </w:rPr>
        <w:t xml:space="preserve"> </w:t>
      </w:r>
    </w:p>
    <w:p w14:paraId="7C2C4E17" w14:textId="77777777" w:rsidR="001560B7" w:rsidRDefault="001560B7" w:rsidP="00C9232E">
      <w:pPr>
        <w:rPr>
          <w:rFonts w:eastAsia="Times New Roman" w:cs="Times New Roman"/>
          <w:noProof/>
          <w:color w:val="000000"/>
          <w:sz w:val="22"/>
        </w:rPr>
      </w:pPr>
    </w:p>
    <w:p w14:paraId="0D9B9B73" w14:textId="2E8CB31A"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lastRenderedPageBreak/>
        <w:t xml:space="preserve">4. Roecker, E. T. &amp; Ricchiazzi, A. J. “Stability of penetrators in dense fluids.” Int. J. Eng. Sci. 16, 1978, pp. 917-920. </w:t>
      </w:r>
      <w:hyperlink r:id="rId216" w:history="1">
        <w:r w:rsidR="002F21A9" w:rsidRPr="007743A7">
          <w:rPr>
            <w:rStyle w:val="Hyperlink"/>
            <w:rFonts w:eastAsia="Times New Roman" w:cs="Times New Roman"/>
            <w:noProof/>
            <w:sz w:val="22"/>
          </w:rPr>
          <w:t>https://www.sciencedirect.com/science/article/abs/pii/0020722578900757</w:t>
        </w:r>
      </w:hyperlink>
      <w:r w:rsidR="002F21A9">
        <w:rPr>
          <w:rFonts w:eastAsia="Times New Roman" w:cs="Times New Roman"/>
          <w:noProof/>
          <w:color w:val="000000"/>
          <w:sz w:val="22"/>
        </w:rPr>
        <w:t xml:space="preserve"> </w:t>
      </w:r>
    </w:p>
    <w:p w14:paraId="48BD44C6" w14:textId="77777777" w:rsidR="001560B7" w:rsidRDefault="001560B7" w:rsidP="00C9232E">
      <w:pPr>
        <w:rPr>
          <w:rFonts w:eastAsia="Times New Roman" w:cs="Times New Roman"/>
          <w:noProof/>
          <w:color w:val="000000"/>
          <w:sz w:val="22"/>
        </w:rPr>
      </w:pPr>
    </w:p>
    <w:p w14:paraId="25A735B7" w14:textId="26356A39"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Gosselin, F., Païdoussis, M. P. &amp; Misra, A. K. “Stability of a deploying/extruding beam in dense fluid.” J. Sound Vib. 299, 2007, pp. 123-142. </w:t>
      </w:r>
      <w:hyperlink r:id="rId217" w:history="1">
        <w:r w:rsidR="002F21A9" w:rsidRPr="007743A7">
          <w:rPr>
            <w:rStyle w:val="Hyperlink"/>
            <w:rFonts w:eastAsia="Times New Roman" w:cs="Times New Roman"/>
            <w:noProof/>
            <w:sz w:val="22"/>
          </w:rPr>
          <w:t>https://www.researchgate.net/publication/220004058_Stability_of_a_deployingextruding_beam_in_dense_fluid</w:t>
        </w:r>
      </w:hyperlink>
      <w:r w:rsidR="002F21A9">
        <w:rPr>
          <w:rFonts w:eastAsia="Times New Roman" w:cs="Times New Roman"/>
          <w:noProof/>
          <w:color w:val="000000"/>
          <w:sz w:val="22"/>
        </w:rPr>
        <w:t xml:space="preserve"> </w:t>
      </w:r>
    </w:p>
    <w:p w14:paraId="1AC46408" w14:textId="77777777" w:rsidR="00C9232E" w:rsidRPr="00D0206E" w:rsidRDefault="00C9232E" w:rsidP="00C9232E">
      <w:pPr>
        <w:rPr>
          <w:rFonts w:eastAsia="Times New Roman" w:cs="Times New Roman"/>
          <w:color w:val="000000"/>
          <w:sz w:val="22"/>
        </w:rPr>
      </w:pPr>
    </w:p>
    <w:p w14:paraId="7B3E435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Trajectory of Cylindrical Projectiles, Instability of Cylindrical Projectiles, Penetration of Hardened Targets, Physics-based Model, Semi-hydrodynamic Regime</w:t>
      </w:r>
    </w:p>
    <w:p w14:paraId="1EAB83C2" w14:textId="77777777" w:rsidR="00C9232E" w:rsidRPr="00D0206E" w:rsidRDefault="00C9232E" w:rsidP="00C9232E">
      <w:pPr>
        <w:rPr>
          <w:rFonts w:eastAsia="Times New Roman" w:cs="Times New Roman"/>
          <w:color w:val="000000"/>
          <w:sz w:val="22"/>
        </w:rPr>
      </w:pPr>
    </w:p>
    <w:p w14:paraId="6CD12EC4" w14:textId="77777777" w:rsidR="00C9232E" w:rsidRPr="00D0206E" w:rsidRDefault="00C9232E" w:rsidP="00C9232E">
      <w:pPr>
        <w:tabs>
          <w:tab w:val="left" w:pos="1260"/>
        </w:tabs>
        <w:ind w:left="270"/>
        <w:rPr>
          <w:rFonts w:eastAsia="Times New Roman" w:cs="Times New Roman"/>
          <w:color w:val="000000"/>
          <w:sz w:val="22"/>
        </w:rPr>
      </w:pPr>
    </w:p>
    <w:p w14:paraId="2FFBF6E9" w14:textId="77777777" w:rsidR="00C9232E" w:rsidRPr="00D0206E" w:rsidRDefault="00C9232E" w:rsidP="00C9232E">
      <w:pPr>
        <w:tabs>
          <w:tab w:val="left" w:pos="1260"/>
        </w:tabs>
        <w:ind w:left="270"/>
        <w:rPr>
          <w:rFonts w:eastAsia="Times New Roman" w:cs="Times New Roman"/>
          <w:color w:val="000000"/>
          <w:sz w:val="22"/>
        </w:rPr>
      </w:pPr>
      <w:r w:rsidRPr="00D0206E">
        <w:rPr>
          <w:rFonts w:eastAsia="Times New Roman" w:cs="Times New Roman"/>
          <w:color w:val="000000"/>
          <w:sz w:val="22"/>
        </w:rPr>
        <w:tab/>
      </w:r>
    </w:p>
    <w:p w14:paraId="703C1D16" w14:textId="77777777" w:rsidR="00C9232E" w:rsidRPr="00D0206E" w:rsidRDefault="00C9232E" w:rsidP="00C9232E">
      <w:pPr>
        <w:tabs>
          <w:tab w:val="left" w:pos="1260"/>
        </w:tabs>
        <w:ind w:left="270"/>
        <w:rPr>
          <w:rFonts w:eastAsia="Times New Roman" w:cs="Times New Roman"/>
          <w:color w:val="000000"/>
          <w:sz w:val="22"/>
        </w:rPr>
      </w:pPr>
    </w:p>
    <w:p w14:paraId="4D34CA08" w14:textId="77777777" w:rsidR="00C9232E" w:rsidRPr="00D0206E" w:rsidRDefault="00C9232E" w:rsidP="00C9232E">
      <w:pPr>
        <w:tabs>
          <w:tab w:val="left" w:pos="1260"/>
        </w:tabs>
        <w:ind w:left="270"/>
        <w:rPr>
          <w:rFonts w:eastAsia="Times New Roman" w:cs="Times New Roman"/>
          <w:color w:val="000000"/>
          <w:sz w:val="22"/>
        </w:rPr>
      </w:pPr>
    </w:p>
    <w:p w14:paraId="7D376440" w14:textId="77777777" w:rsidR="00C9232E" w:rsidRPr="00D0206E" w:rsidRDefault="00C9232E" w:rsidP="00C9232E">
      <w:pPr>
        <w:tabs>
          <w:tab w:val="left" w:pos="1260"/>
        </w:tabs>
        <w:ind w:left="270"/>
        <w:rPr>
          <w:rFonts w:eastAsia="Times New Roman" w:cs="Times New Roman"/>
          <w:color w:val="000000"/>
          <w:sz w:val="22"/>
        </w:rPr>
      </w:pPr>
    </w:p>
    <w:p w14:paraId="510DF92A" w14:textId="77777777" w:rsidR="00C9232E" w:rsidRPr="00D0206E" w:rsidRDefault="00C9232E" w:rsidP="00C9232E">
      <w:pPr>
        <w:rPr>
          <w:rFonts w:eastAsia="Times New Roman" w:cs="Times New Roman"/>
          <w:color w:val="000000"/>
          <w:sz w:val="22"/>
        </w:rPr>
      </w:pPr>
    </w:p>
    <w:p w14:paraId="201C9B4C" w14:textId="77777777" w:rsidR="00C9232E" w:rsidRPr="00D0206E" w:rsidRDefault="00C9232E" w:rsidP="00C9232E">
      <w:pPr>
        <w:rPr>
          <w:rFonts w:eastAsia="Times New Roman" w:cs="Times New Roman"/>
          <w:color w:val="000000"/>
          <w:sz w:val="22"/>
        </w:rPr>
      </w:pPr>
    </w:p>
    <w:p w14:paraId="047E80B0"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041B9DC2" w14:textId="77777777" w:rsidR="00C9232E" w:rsidRPr="00D0206E" w:rsidRDefault="00C9232E" w:rsidP="00C9232E">
      <w:pPr>
        <w:ind w:left="1620" w:hanging="1620"/>
        <w:rPr>
          <w:rFonts w:eastAsia="Times New Roman" w:cs="Times New Roman"/>
          <w:color w:val="000000"/>
          <w:sz w:val="22"/>
        </w:rPr>
      </w:pPr>
      <w:r w:rsidRPr="00D0206E">
        <w:rPr>
          <w:rFonts w:eastAsia="Times New Roman" w:cs="Times New Roman"/>
          <w:noProof/>
          <w:color w:val="000000"/>
          <w:sz w:val="22"/>
        </w:rPr>
        <w:lastRenderedPageBreak/>
        <w:t>N202-145</w:t>
      </w:r>
      <w:r w:rsidRPr="00D0206E">
        <w:rPr>
          <w:rFonts w:eastAsia="Times New Roman" w:cs="Times New Roman"/>
          <w:color w:val="000000"/>
          <w:sz w:val="22"/>
        </w:rPr>
        <w:tab/>
        <w:t xml:space="preserve">TITLE: </w:t>
      </w:r>
      <w:r w:rsidRPr="00D0206E">
        <w:rPr>
          <w:rFonts w:eastAsia="Times New Roman" w:cs="Times New Roman"/>
          <w:noProof/>
          <w:color w:val="000000"/>
          <w:sz w:val="22"/>
        </w:rPr>
        <w:t>Hypersonic Wake Detection with High Enthalpy Capabilities</w:t>
      </w:r>
    </w:p>
    <w:p w14:paraId="327FC955" w14:textId="77777777" w:rsidR="00C9232E" w:rsidRPr="00D0206E" w:rsidRDefault="00C9232E" w:rsidP="00C9232E">
      <w:pPr>
        <w:rPr>
          <w:rFonts w:eastAsia="Times New Roman" w:cs="Times New Roman"/>
          <w:color w:val="000000"/>
          <w:sz w:val="22"/>
        </w:rPr>
      </w:pPr>
    </w:p>
    <w:p w14:paraId="6B5BA202"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RT&amp;L FOCUS AREA(S): </w:t>
      </w:r>
      <w:r w:rsidRPr="00D0206E">
        <w:rPr>
          <w:rFonts w:eastAsia="Times New Roman" w:cs="Times New Roman"/>
          <w:noProof/>
          <w:color w:val="000000"/>
          <w:sz w:val="22"/>
        </w:rPr>
        <w:t>Hypersonics</w:t>
      </w:r>
    </w:p>
    <w:p w14:paraId="356328A7"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TECHNOLOGY AREA(S): </w:t>
      </w:r>
      <w:r w:rsidRPr="00D0206E">
        <w:rPr>
          <w:rFonts w:eastAsia="Times New Roman" w:cs="Times New Roman"/>
          <w:noProof/>
          <w:color w:val="000000"/>
          <w:sz w:val="22"/>
        </w:rPr>
        <w:t>Sensors</w:t>
      </w:r>
    </w:p>
    <w:p w14:paraId="381B674F" w14:textId="77777777" w:rsidR="00C9232E" w:rsidRPr="00D0206E" w:rsidRDefault="00C9232E" w:rsidP="00C9232E">
      <w:pPr>
        <w:rPr>
          <w:rFonts w:eastAsia="Times New Roman" w:cs="Times New Roman"/>
          <w:color w:val="000000"/>
          <w:sz w:val="22"/>
        </w:rPr>
      </w:pPr>
    </w:p>
    <w:p w14:paraId="0E5716F9"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E18F6B2" w14:textId="77777777" w:rsidR="00C9232E" w:rsidRPr="00D0206E" w:rsidRDefault="00C9232E" w:rsidP="00C9232E">
      <w:pPr>
        <w:rPr>
          <w:rFonts w:eastAsia="Times New Roman" w:cs="Times New Roman"/>
          <w:color w:val="000000"/>
          <w:sz w:val="22"/>
        </w:rPr>
      </w:pPr>
    </w:p>
    <w:p w14:paraId="5EBCD2E5"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OBJECTIVE: </w:t>
      </w:r>
      <w:r w:rsidRPr="00D0206E">
        <w:rPr>
          <w:rFonts w:eastAsia="Times New Roman" w:cs="Times New Roman"/>
          <w:noProof/>
          <w:color w:val="000000"/>
          <w:sz w:val="22"/>
        </w:rPr>
        <w:t>Develop a hypersonic vehicle tracking system based on analysis of the wake turbulence and chemiluminescence.</w:t>
      </w:r>
    </w:p>
    <w:p w14:paraId="0CF378EE" w14:textId="77777777" w:rsidR="00C9232E" w:rsidRPr="00D0206E" w:rsidRDefault="00C9232E" w:rsidP="00C9232E">
      <w:pPr>
        <w:rPr>
          <w:rFonts w:eastAsia="Times New Roman" w:cs="Times New Roman"/>
          <w:color w:val="000000"/>
          <w:sz w:val="22"/>
        </w:rPr>
      </w:pPr>
    </w:p>
    <w:p w14:paraId="7372FEDA"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DESCRIPTION: </w:t>
      </w:r>
      <w:r w:rsidRPr="00D0206E">
        <w:rPr>
          <w:rFonts w:eastAsia="Times New Roman" w:cs="Times New Roman"/>
          <w:noProof/>
          <w:color w:val="000000"/>
          <w:sz w:val="22"/>
        </w:rPr>
        <w:t>The distribution of observable markers in hypersonic wakes is the result of a complex interaction of body shape, chemical kinetics, and laminar-turbulent transition mechanisms. At hypersonic speeds in a gas, electrons and radiating species are generated by viscous heating that are entrained into the wake and are responsible for observable effects up to distances of hundreds or even thousands of body diameters. Clearly an understanding of the radiation signature of reentry vehicles is of fundamental importance to high-speed-flight research. During a brief period in the early 1960s, a number of experiments were conducted on this problem that involved performing both velocity measurements to characterize the turbulence development in the wake and spectroscopic techniques to identify the chemical kinetics of reacting species [Refs 1, 2, 3, 4, 5].</w:t>
      </w:r>
    </w:p>
    <w:p w14:paraId="1DA7DA79" w14:textId="77777777" w:rsidR="00C9232E" w:rsidRPr="00D0206E" w:rsidRDefault="00C9232E" w:rsidP="00C9232E">
      <w:pPr>
        <w:rPr>
          <w:rFonts w:eastAsia="Times New Roman" w:cs="Times New Roman"/>
          <w:noProof/>
          <w:color w:val="000000"/>
          <w:sz w:val="22"/>
        </w:rPr>
      </w:pPr>
    </w:p>
    <w:p w14:paraId="4B750F60"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A general conclusion from this early body of work was that theoretical models were insufficient to adequately predict the structure of the wake and additional experiments were required. Improving the understanding of the laminar-to-turbulence transition, separation dynamics just behind the body, and turbulence statistics and structure in the wake was needed. Uncertainty in the estimations of enthalpy made it difficult to predict the temperature in the wake, which affects kinetics and generation of reacting species, crucial to the complete characterization of a hypersonic wake. A principle limitation was the unavailability of point-wise sensors with high-bandwidth sensitivity to mass-flux, temperature, and gas species with the required robustness and small measurement volumes.</w:t>
      </w:r>
    </w:p>
    <w:p w14:paraId="64DBB149" w14:textId="77777777" w:rsidR="00C9232E" w:rsidRPr="00D0206E" w:rsidRDefault="00C9232E" w:rsidP="00C9232E">
      <w:pPr>
        <w:rPr>
          <w:rFonts w:eastAsia="Times New Roman" w:cs="Times New Roman"/>
          <w:noProof/>
          <w:color w:val="000000"/>
          <w:sz w:val="22"/>
        </w:rPr>
      </w:pPr>
    </w:p>
    <w:p w14:paraId="5B2D2E6F"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Optical diagnostic tools do not provide point-wise capability and often involve path integration and are limited by the need for optical access. A new sensor is required that overcomes these limitations while providing both high bandwidth velocity and species detection capabilities. This sensor should be able to survive in harsh conditions involving exposed plasmas, an environment at temperatures of 1100 °C or greater, and high turbulence levels of 10% or greater in particulate-laden flows. The sensor should not require optical access, and should provide good spatial resolution with measurement volumes under 0.25 cu cm.</w:t>
      </w:r>
    </w:p>
    <w:p w14:paraId="6F5B4E42" w14:textId="77777777" w:rsidR="00C9232E" w:rsidRPr="00D0206E" w:rsidRDefault="00C9232E" w:rsidP="00C9232E">
      <w:pPr>
        <w:rPr>
          <w:rFonts w:eastAsia="Times New Roman" w:cs="Times New Roman"/>
          <w:noProof/>
          <w:color w:val="000000"/>
          <w:sz w:val="22"/>
        </w:rPr>
      </w:pPr>
    </w:p>
    <w:p w14:paraId="1CD6366F"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w:t>
      </w:r>
      <w:r w:rsidRPr="00D0206E">
        <w:rPr>
          <w:rFonts w:eastAsia="Times New Roman" w:cs="Times New Roman"/>
          <w:noProof/>
          <w:color w:val="000000"/>
          <w:sz w:val="22"/>
        </w:rPr>
        <w:lastRenderedPageBreak/>
        <w:t>allies; this will be an inherent requirement. The selected company will be required to safeguard classified material IAW DoD 5220.22-M during the advanced phases of this contract.</w:t>
      </w:r>
    </w:p>
    <w:p w14:paraId="60F30EEC" w14:textId="77777777" w:rsidR="00C9232E" w:rsidRPr="00D0206E" w:rsidRDefault="00C9232E" w:rsidP="00C9232E">
      <w:pPr>
        <w:rPr>
          <w:rFonts w:eastAsia="Times New Roman" w:cs="Times New Roman"/>
          <w:color w:val="000000"/>
          <w:sz w:val="22"/>
        </w:rPr>
      </w:pPr>
    </w:p>
    <w:p w14:paraId="67906254"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 </w:t>
      </w:r>
      <w:r w:rsidRPr="00D0206E">
        <w:rPr>
          <w:rFonts w:eastAsia="Times New Roman" w:cs="Times New Roman"/>
          <w:noProof/>
          <w:color w:val="000000"/>
          <w:sz w:val="22"/>
        </w:rPr>
        <w:t>Develop a concept for velocity and gas mixture composition sensing capable of withstanding 1100 °C environments. Demonstrate the feasibility of the proposed sensor type and the packaging approach suitable to satellite payloads less than 1000 cu cm. Describe the manufacturing feasibility of the sensor and packaging necessary for commercialization efforts. Experimentally demonstrate feasibility of the proposed sensor at a laboratory scale at hypersonic Mach numbers. The Phase I Option, if exercised, will include the initial design specifications and capabilities description to build a prototype solution in Phase II. Develop a Phase II plan.</w:t>
      </w:r>
    </w:p>
    <w:p w14:paraId="29190E41" w14:textId="77777777" w:rsidR="00C9232E" w:rsidRPr="00D0206E" w:rsidRDefault="00C9232E" w:rsidP="00C9232E">
      <w:pPr>
        <w:rPr>
          <w:rFonts w:eastAsia="Times New Roman" w:cs="Times New Roman"/>
          <w:color w:val="000000"/>
          <w:sz w:val="22"/>
        </w:rPr>
      </w:pPr>
    </w:p>
    <w:p w14:paraId="41449001" w14:textId="77777777" w:rsidR="00C9232E" w:rsidRPr="00D0206E" w:rsidRDefault="00C9232E" w:rsidP="00C9232E">
      <w:pPr>
        <w:rPr>
          <w:rFonts w:eastAsia="Times New Roman" w:cs="Times New Roman"/>
          <w:noProof/>
          <w:color w:val="000000"/>
          <w:sz w:val="22"/>
        </w:rPr>
      </w:pPr>
      <w:r w:rsidRPr="00D0206E">
        <w:rPr>
          <w:rFonts w:eastAsia="Times New Roman" w:cs="Times New Roman"/>
          <w:color w:val="000000"/>
          <w:sz w:val="22"/>
        </w:rPr>
        <w:t xml:space="preserve">PHASE II: </w:t>
      </w:r>
      <w:r w:rsidRPr="00D0206E">
        <w:rPr>
          <w:rFonts w:eastAsia="Times New Roman" w:cs="Times New Roman"/>
          <w:noProof/>
          <w:color w:val="000000"/>
          <w:sz w:val="22"/>
        </w:rPr>
        <w:t>Fabricate and characterize several full prototype devices in a low enthalpy hypersonic quiet tunnel and high enthalpy high Mach number flow field facilities. Prepare a Phase III development plan to transition the technology for Navy use and potential commercial use.</w:t>
      </w:r>
    </w:p>
    <w:p w14:paraId="7E555FA2" w14:textId="77777777"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   </w:t>
      </w:r>
    </w:p>
    <w:p w14:paraId="2C42D1EC" w14:textId="77777777" w:rsidR="00C9232E" w:rsidRPr="00D0206E" w:rsidRDefault="00C9232E" w:rsidP="00C9232E">
      <w:pPr>
        <w:rPr>
          <w:rFonts w:eastAsia="Times New Roman" w:cs="Times New Roman"/>
          <w:color w:val="000000"/>
          <w:sz w:val="22"/>
        </w:rPr>
      </w:pPr>
      <w:r w:rsidRPr="00D0206E">
        <w:rPr>
          <w:rFonts w:eastAsia="Times New Roman" w:cs="Times New Roman"/>
          <w:noProof/>
          <w:color w:val="000000"/>
          <w:sz w:val="22"/>
        </w:rPr>
        <w:t>It is probable that the work under this effort will be classified under Phase II (see Description section for details).</w:t>
      </w:r>
    </w:p>
    <w:p w14:paraId="1A7C1F2E" w14:textId="77777777" w:rsidR="00C9232E" w:rsidRPr="00D0206E" w:rsidRDefault="00C9232E" w:rsidP="00C9232E">
      <w:pPr>
        <w:rPr>
          <w:rFonts w:eastAsia="Times New Roman" w:cs="Times New Roman"/>
          <w:color w:val="000000"/>
          <w:sz w:val="22"/>
        </w:rPr>
      </w:pPr>
    </w:p>
    <w:p w14:paraId="26C4F663"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PHASE III DUAL USE APPLICATIONS: </w:t>
      </w:r>
      <w:r w:rsidRPr="00D0206E">
        <w:rPr>
          <w:rFonts w:eastAsia="Times New Roman" w:cs="Times New Roman"/>
          <w:noProof/>
          <w:color w:val="000000"/>
          <w:sz w:val="22"/>
        </w:rPr>
        <w:t>Support the Navy in transitioning the technology to Navy use. Conduct necessary qualification testing of the device to merit further investment and consideration for military hypersonic vehicle platforms. Work together with original equipment manufacturer (OEM) to develop a business plan and necessary IP, and seek necessary investment to support the product/process/service for the OEM military provider. The use of chemiluminescence has potential applications in welding and plasma processing where the environments do not support physical interaction with the objects of interest.</w:t>
      </w:r>
    </w:p>
    <w:p w14:paraId="6D2D0329" w14:textId="77777777" w:rsidR="00C9232E" w:rsidRPr="00D0206E" w:rsidRDefault="00C9232E" w:rsidP="00C9232E">
      <w:pPr>
        <w:rPr>
          <w:rFonts w:eastAsia="Times New Roman" w:cs="Times New Roman"/>
          <w:color w:val="000000"/>
          <w:sz w:val="22"/>
        </w:rPr>
      </w:pPr>
    </w:p>
    <w:p w14:paraId="72DF3BDF"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REFERENCES:</w:t>
      </w:r>
    </w:p>
    <w:p w14:paraId="7908BD24" w14:textId="216D090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1. Bayes, K., and Kistiakowsky, G.B. “On the Mechanism of the Lewis-Rayleigh Nitrogen Afterglow.” Chemical Physics, 32, 4, March 1960, pp. 992-1000. </w:t>
      </w:r>
      <w:hyperlink r:id="rId218" w:history="1">
        <w:r w:rsidR="002F21A9" w:rsidRPr="007743A7">
          <w:rPr>
            <w:rStyle w:val="Hyperlink"/>
            <w:rFonts w:eastAsia="Times New Roman" w:cs="Times New Roman"/>
            <w:noProof/>
            <w:sz w:val="22"/>
          </w:rPr>
          <w:t>https://aip.scitation.org/doi/10.1063/1.1730909</w:t>
        </w:r>
      </w:hyperlink>
      <w:r w:rsidR="002F21A9">
        <w:rPr>
          <w:rFonts w:eastAsia="Times New Roman" w:cs="Times New Roman"/>
          <w:noProof/>
          <w:color w:val="000000"/>
          <w:sz w:val="22"/>
        </w:rPr>
        <w:t xml:space="preserve"> </w:t>
      </w:r>
    </w:p>
    <w:p w14:paraId="073A8A17" w14:textId="77777777" w:rsidR="00577DC8" w:rsidRDefault="00577DC8" w:rsidP="00C9232E">
      <w:pPr>
        <w:rPr>
          <w:rFonts w:eastAsia="Times New Roman" w:cs="Times New Roman"/>
          <w:noProof/>
          <w:color w:val="000000"/>
          <w:sz w:val="22"/>
        </w:rPr>
      </w:pPr>
    </w:p>
    <w:p w14:paraId="5F4CF3E7" w14:textId="70BE0C5B"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2. Hundley, R. “Air Radiation From Nonequilibrium Wakes of Blunt Hypersonic Reentry Vehicles.” Memorandum RM-4071-ARPA, June 1964. </w:t>
      </w:r>
      <w:hyperlink r:id="rId219" w:history="1">
        <w:r w:rsidR="002F21A9" w:rsidRPr="007743A7">
          <w:rPr>
            <w:rStyle w:val="Hyperlink"/>
            <w:rFonts w:eastAsia="Times New Roman" w:cs="Times New Roman"/>
            <w:noProof/>
            <w:sz w:val="22"/>
          </w:rPr>
          <w:t>https://www.rand.org/content/dam/rand/pubs/research_memoranda/2008/RM4071.pdf</w:t>
        </w:r>
      </w:hyperlink>
      <w:r w:rsidR="002F21A9">
        <w:rPr>
          <w:rFonts w:eastAsia="Times New Roman" w:cs="Times New Roman"/>
          <w:noProof/>
          <w:color w:val="000000"/>
          <w:sz w:val="22"/>
        </w:rPr>
        <w:t xml:space="preserve"> </w:t>
      </w:r>
    </w:p>
    <w:p w14:paraId="2E91BCE0" w14:textId="77777777" w:rsidR="00577DC8" w:rsidRDefault="00577DC8" w:rsidP="00C9232E">
      <w:pPr>
        <w:rPr>
          <w:rFonts w:eastAsia="Times New Roman" w:cs="Times New Roman"/>
          <w:noProof/>
          <w:color w:val="000000"/>
          <w:sz w:val="22"/>
        </w:rPr>
      </w:pPr>
    </w:p>
    <w:p w14:paraId="46F079FC" w14:textId="03D42973" w:rsidR="00577DC8"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3. Lees, L. “Hypersonic Wakes and Trails.” AIAA Journal 2, 3, 1964, pp. 417-428. </w:t>
      </w:r>
      <w:hyperlink r:id="rId220" w:history="1">
        <w:r w:rsidR="002F21A9" w:rsidRPr="007743A7">
          <w:rPr>
            <w:rStyle w:val="Hyperlink"/>
            <w:rFonts w:eastAsia="Times New Roman" w:cs="Times New Roman"/>
            <w:noProof/>
            <w:sz w:val="22"/>
          </w:rPr>
          <w:t>https://arc.aiaa.org/doi/abs/10.2514/3.2356?journalCode=aiaaj</w:t>
        </w:r>
      </w:hyperlink>
      <w:r w:rsidRPr="00D0206E">
        <w:rPr>
          <w:rFonts w:eastAsia="Times New Roman" w:cs="Times New Roman"/>
          <w:noProof/>
          <w:color w:val="000000"/>
          <w:sz w:val="22"/>
        </w:rPr>
        <w:t>”</w:t>
      </w:r>
      <w:r w:rsidR="002F21A9">
        <w:rPr>
          <w:rFonts w:eastAsia="Times New Roman" w:cs="Times New Roman"/>
          <w:noProof/>
          <w:color w:val="000000"/>
          <w:sz w:val="22"/>
        </w:rPr>
        <w:t xml:space="preserve"> </w:t>
      </w:r>
    </w:p>
    <w:p w14:paraId="41017CF3" w14:textId="77777777" w:rsidR="00577DC8" w:rsidRDefault="00577DC8" w:rsidP="00C9232E">
      <w:pPr>
        <w:rPr>
          <w:rFonts w:eastAsia="Times New Roman" w:cs="Times New Roman"/>
          <w:noProof/>
          <w:color w:val="000000"/>
          <w:sz w:val="22"/>
        </w:rPr>
      </w:pPr>
    </w:p>
    <w:p w14:paraId="2635DF6D" w14:textId="1BAE4F81"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4. Levensteins, Z., and Krumins, M. “Aerodynamic Characteristics of Hypersonic Wakes.”, AIAA Journal 5, 9, 1967, pp. 1596-1602. </w:t>
      </w:r>
      <w:hyperlink r:id="rId221" w:history="1">
        <w:r w:rsidR="002F21A9" w:rsidRPr="007743A7">
          <w:rPr>
            <w:rStyle w:val="Hyperlink"/>
            <w:rFonts w:eastAsia="Times New Roman" w:cs="Times New Roman"/>
            <w:noProof/>
            <w:sz w:val="22"/>
          </w:rPr>
          <w:t>https://arc.aiaa.org/doi/10.2514/3.4256</w:t>
        </w:r>
      </w:hyperlink>
      <w:r w:rsidR="002F21A9">
        <w:rPr>
          <w:rFonts w:eastAsia="Times New Roman" w:cs="Times New Roman"/>
          <w:noProof/>
          <w:color w:val="000000"/>
          <w:sz w:val="22"/>
        </w:rPr>
        <w:t xml:space="preserve"> </w:t>
      </w:r>
    </w:p>
    <w:p w14:paraId="1B9DA582" w14:textId="77777777" w:rsidR="00577DC8" w:rsidRDefault="00577DC8" w:rsidP="00C9232E">
      <w:pPr>
        <w:rPr>
          <w:rFonts w:eastAsia="Times New Roman" w:cs="Times New Roman"/>
          <w:noProof/>
          <w:color w:val="000000"/>
          <w:sz w:val="22"/>
        </w:rPr>
      </w:pPr>
    </w:p>
    <w:p w14:paraId="7BC931C2" w14:textId="3F21130E" w:rsidR="00C9232E" w:rsidRPr="00D0206E" w:rsidRDefault="00C9232E" w:rsidP="00C9232E">
      <w:pPr>
        <w:rPr>
          <w:rFonts w:eastAsia="Times New Roman" w:cs="Times New Roman"/>
          <w:noProof/>
          <w:color w:val="000000"/>
          <w:sz w:val="22"/>
        </w:rPr>
      </w:pPr>
      <w:r w:rsidRPr="00D0206E">
        <w:rPr>
          <w:rFonts w:eastAsia="Times New Roman" w:cs="Times New Roman"/>
          <w:noProof/>
          <w:color w:val="000000"/>
          <w:sz w:val="22"/>
        </w:rPr>
        <w:t xml:space="preserve">5. Tanaka, Y., Innes, F., Jursa, A., and Nakamura, M. “Absorption Spectra of the Pink and Lweis-Rayleigh Afterglows of Nitrogen in the Vacuum-uv Region.” J. Chem. Phys. 42, 4, 1965, pp. 1183-1198. </w:t>
      </w:r>
      <w:hyperlink r:id="rId222" w:history="1">
        <w:r w:rsidR="002F21A9" w:rsidRPr="007743A7">
          <w:rPr>
            <w:rStyle w:val="Hyperlink"/>
            <w:rFonts w:eastAsia="Times New Roman" w:cs="Times New Roman"/>
            <w:noProof/>
            <w:sz w:val="22"/>
          </w:rPr>
          <w:t>https://doi.org/10.1063/1.1696100</w:t>
        </w:r>
      </w:hyperlink>
      <w:r w:rsidR="002F21A9">
        <w:rPr>
          <w:rFonts w:eastAsia="Times New Roman" w:cs="Times New Roman"/>
          <w:noProof/>
          <w:color w:val="000000"/>
          <w:sz w:val="22"/>
        </w:rPr>
        <w:t xml:space="preserve"> </w:t>
      </w:r>
    </w:p>
    <w:p w14:paraId="7086E585" w14:textId="77777777" w:rsidR="00C9232E" w:rsidRPr="00D0206E" w:rsidRDefault="00C9232E" w:rsidP="00C9232E">
      <w:pPr>
        <w:rPr>
          <w:rFonts w:eastAsia="Times New Roman" w:cs="Times New Roman"/>
          <w:color w:val="000000"/>
          <w:sz w:val="22"/>
        </w:rPr>
      </w:pPr>
    </w:p>
    <w:p w14:paraId="02201DE0" w14:textId="77777777" w:rsidR="00C9232E" w:rsidRPr="00D0206E" w:rsidRDefault="00C9232E" w:rsidP="00C9232E">
      <w:pPr>
        <w:rPr>
          <w:rFonts w:eastAsia="Times New Roman" w:cs="Times New Roman"/>
          <w:color w:val="000000"/>
          <w:sz w:val="22"/>
        </w:rPr>
      </w:pPr>
      <w:r w:rsidRPr="00D0206E">
        <w:rPr>
          <w:rFonts w:eastAsia="Times New Roman" w:cs="Times New Roman"/>
          <w:color w:val="000000"/>
          <w:sz w:val="22"/>
        </w:rPr>
        <w:t xml:space="preserve">KEYWORDS: </w:t>
      </w:r>
      <w:r w:rsidRPr="00D0206E">
        <w:rPr>
          <w:rFonts w:eastAsia="Times New Roman" w:cs="Times New Roman"/>
          <w:noProof/>
          <w:color w:val="000000"/>
          <w:sz w:val="22"/>
        </w:rPr>
        <w:t>Reentry Vehicles, Chemiluminescence, Hypersonic, Wake Turbulence, High Enthalpy, Laminar-turbulent Transition</w:t>
      </w:r>
    </w:p>
    <w:p w14:paraId="2526C5E9" w14:textId="77777777" w:rsidR="00C9232E" w:rsidRPr="00D0206E" w:rsidRDefault="00C9232E" w:rsidP="00C9232E">
      <w:pPr>
        <w:rPr>
          <w:rFonts w:eastAsia="Times New Roman" w:cs="Times New Roman"/>
          <w:color w:val="000000"/>
          <w:sz w:val="22"/>
        </w:rPr>
      </w:pPr>
    </w:p>
    <w:p w14:paraId="4C23BB3C" w14:textId="40C86ED3" w:rsidR="00577DC8" w:rsidRPr="00D0206E" w:rsidRDefault="00577DC8" w:rsidP="00577DC8">
      <w:pPr>
        <w:tabs>
          <w:tab w:val="left" w:pos="1260"/>
        </w:tabs>
        <w:rPr>
          <w:rFonts w:eastAsia="Times New Roman" w:cs="Times New Roman"/>
          <w:color w:val="000000"/>
          <w:sz w:val="22"/>
        </w:rPr>
      </w:pPr>
    </w:p>
    <w:p w14:paraId="035D3332" w14:textId="77777777" w:rsidR="00C9232E" w:rsidRPr="00D0206E" w:rsidRDefault="00C9232E" w:rsidP="00C9232E">
      <w:pPr>
        <w:rPr>
          <w:rFonts w:eastAsia="Times New Roman" w:cs="Times New Roman"/>
          <w:color w:val="000000"/>
          <w:sz w:val="22"/>
        </w:rPr>
      </w:pPr>
    </w:p>
    <w:p w14:paraId="2981B0D9" w14:textId="77777777" w:rsidR="00C9232E" w:rsidRPr="00D0206E" w:rsidRDefault="00C9232E" w:rsidP="00C9232E">
      <w:pPr>
        <w:rPr>
          <w:sz w:val="22"/>
        </w:rPr>
        <w:sectPr w:rsidR="00C9232E" w:rsidRPr="00D0206E" w:rsidSect="002A1D52">
          <w:pgSz w:w="12240" w:h="15840"/>
          <w:pgMar w:top="1440" w:right="1440" w:bottom="1440" w:left="1440" w:header="720" w:footer="720" w:gutter="0"/>
          <w:pgNumType w:start="158"/>
          <w:cols w:space="720"/>
          <w:docGrid w:linePitch="360"/>
        </w:sectPr>
      </w:pPr>
    </w:p>
    <w:p w14:paraId="1B552762" w14:textId="00BE0F92" w:rsidR="00C9232E" w:rsidRPr="00D0206E" w:rsidRDefault="00A215A7" w:rsidP="00C9232E">
      <w:pPr>
        <w:tabs>
          <w:tab w:val="left" w:pos="1260"/>
        </w:tabs>
        <w:ind w:left="270"/>
        <w:rPr>
          <w:rFonts w:eastAsia="Times New Roman" w:cs="Times New Roman"/>
          <w:color w:val="000000"/>
          <w:sz w:val="22"/>
        </w:rPr>
      </w:pPr>
      <w:r w:rsidRPr="00A215A7">
        <w:rPr>
          <w:rFonts w:eastAsia="Times New Roman" w:cs="Times New Roman"/>
          <w:noProof/>
          <w:color w:val="000000"/>
          <w:sz w:val="22"/>
        </w:rPr>
        <w:lastRenderedPageBreak/>
        <w:t>N202-146</w:t>
      </w:r>
      <w:r w:rsidRPr="00A215A7">
        <w:rPr>
          <w:rFonts w:eastAsia="Times New Roman" w:cs="Times New Roman"/>
          <w:noProof/>
          <w:color w:val="000000"/>
          <w:sz w:val="22"/>
        </w:rPr>
        <w:tab/>
        <w:t>[Navy has removed topic N202-146 from the 20.2 SBIR BAA]</w:t>
      </w:r>
    </w:p>
    <w:p w14:paraId="2CD4A6F4" w14:textId="77777777" w:rsidR="00C9232E" w:rsidRPr="00D0206E" w:rsidRDefault="00C9232E" w:rsidP="00C9232E">
      <w:pPr>
        <w:tabs>
          <w:tab w:val="left" w:pos="1260"/>
        </w:tabs>
        <w:ind w:left="270"/>
        <w:rPr>
          <w:rFonts w:eastAsia="Times New Roman" w:cs="Times New Roman"/>
          <w:color w:val="000000"/>
          <w:sz w:val="22"/>
        </w:rPr>
      </w:pPr>
    </w:p>
    <w:p w14:paraId="7515BC00" w14:textId="77777777" w:rsidR="00C9232E" w:rsidRPr="00D0206E" w:rsidRDefault="00C9232E" w:rsidP="00C9232E">
      <w:pPr>
        <w:tabs>
          <w:tab w:val="left" w:pos="1260"/>
        </w:tabs>
        <w:ind w:left="270"/>
        <w:rPr>
          <w:rFonts w:eastAsia="Times New Roman" w:cs="Times New Roman"/>
          <w:color w:val="000000"/>
          <w:sz w:val="22"/>
        </w:rPr>
      </w:pPr>
    </w:p>
    <w:p w14:paraId="5DDA3247" w14:textId="77777777" w:rsidR="00C9232E" w:rsidRPr="00D0206E" w:rsidRDefault="00C9232E" w:rsidP="00C9232E">
      <w:pPr>
        <w:tabs>
          <w:tab w:val="left" w:pos="1260"/>
        </w:tabs>
        <w:ind w:left="270"/>
        <w:rPr>
          <w:rFonts w:eastAsia="Times New Roman" w:cs="Times New Roman"/>
          <w:color w:val="000000"/>
          <w:sz w:val="22"/>
        </w:rPr>
      </w:pPr>
    </w:p>
    <w:p w14:paraId="16C7A563" w14:textId="77777777" w:rsidR="00C9232E" w:rsidRPr="00D0206E" w:rsidRDefault="00C9232E" w:rsidP="00C9232E">
      <w:pPr>
        <w:rPr>
          <w:rFonts w:eastAsia="Times New Roman" w:cs="Times New Roman"/>
          <w:color w:val="000000"/>
          <w:sz w:val="22"/>
        </w:rPr>
      </w:pPr>
    </w:p>
    <w:p w14:paraId="04208768" w14:textId="77777777" w:rsidR="00C9232E" w:rsidRPr="00D0206E" w:rsidRDefault="00C9232E" w:rsidP="00C9232E">
      <w:pPr>
        <w:rPr>
          <w:rFonts w:eastAsia="Times New Roman" w:cs="Times New Roman"/>
          <w:color w:val="000000"/>
          <w:sz w:val="22"/>
        </w:rPr>
      </w:pPr>
    </w:p>
    <w:p w14:paraId="6EF75C59" w14:textId="77777777" w:rsidR="00C9232E" w:rsidRPr="00D0206E" w:rsidRDefault="00C9232E" w:rsidP="00C9232E">
      <w:pPr>
        <w:rPr>
          <w:sz w:val="22"/>
        </w:rPr>
        <w:sectPr w:rsidR="00C9232E" w:rsidRPr="00D0206E" w:rsidSect="002A1D52">
          <w:pgSz w:w="12240" w:h="15840"/>
          <w:pgMar w:top="1440" w:right="1440" w:bottom="1440" w:left="1440" w:header="720" w:footer="720" w:gutter="0"/>
          <w:cols w:space="720"/>
          <w:docGrid w:linePitch="360"/>
        </w:sectPr>
      </w:pPr>
    </w:p>
    <w:p w14:paraId="4AA6F943" w14:textId="3F2F9975" w:rsidR="00C9232E" w:rsidRPr="00D0206E" w:rsidRDefault="00A215A7" w:rsidP="00C9232E">
      <w:pPr>
        <w:tabs>
          <w:tab w:val="left" w:pos="1260"/>
        </w:tabs>
        <w:ind w:left="270"/>
        <w:rPr>
          <w:rFonts w:eastAsia="Times New Roman" w:cs="Times New Roman"/>
          <w:color w:val="000000"/>
          <w:sz w:val="22"/>
        </w:rPr>
      </w:pPr>
      <w:r w:rsidRPr="00A215A7">
        <w:rPr>
          <w:rFonts w:eastAsia="Times New Roman" w:cs="Times New Roman"/>
          <w:noProof/>
          <w:color w:val="000000"/>
          <w:sz w:val="22"/>
        </w:rPr>
        <w:lastRenderedPageBreak/>
        <w:t>N202-147</w:t>
      </w:r>
      <w:r w:rsidRPr="00A215A7">
        <w:rPr>
          <w:rFonts w:eastAsia="Times New Roman" w:cs="Times New Roman"/>
          <w:noProof/>
          <w:color w:val="000000"/>
          <w:sz w:val="22"/>
        </w:rPr>
        <w:tab/>
        <w:t>[Navy has removed topic N202-147 from the 20.2 SBIR BAA]</w:t>
      </w:r>
    </w:p>
    <w:p w14:paraId="02B55FB4" w14:textId="77777777" w:rsidR="00C9232E" w:rsidRPr="00D0206E" w:rsidRDefault="00C9232E" w:rsidP="00C9232E">
      <w:pPr>
        <w:ind w:left="1620" w:hanging="1620"/>
        <w:rPr>
          <w:sz w:val="22"/>
        </w:rPr>
      </w:pPr>
    </w:p>
    <w:p w14:paraId="7693F9FA" w14:textId="77777777" w:rsidR="007F2064" w:rsidRPr="00D0206E" w:rsidRDefault="007F2064" w:rsidP="00817A2B">
      <w:pPr>
        <w:jc w:val="both"/>
        <w:rPr>
          <w:sz w:val="22"/>
        </w:rPr>
      </w:pPr>
    </w:p>
    <w:sectPr w:rsidR="007F2064" w:rsidRPr="00D0206E" w:rsidSect="00C17ABD">
      <w:footerReference w:type="default" r:id="rId2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EF16" w14:textId="77777777" w:rsidR="00CA2F54" w:rsidRDefault="00CA2F54" w:rsidP="00A95D3E">
      <w:r>
        <w:separator/>
      </w:r>
    </w:p>
  </w:endnote>
  <w:endnote w:type="continuationSeparator" w:id="0">
    <w:p w14:paraId="009493D1" w14:textId="77777777" w:rsidR="00CA2F54" w:rsidRDefault="00CA2F54"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D074" w14:textId="2E4C87D9" w:rsidR="000E5BEA" w:rsidRPr="000E5BEA" w:rsidRDefault="000E5BEA">
    <w:pPr>
      <w:pStyle w:val="Footer"/>
      <w:jc w:val="center"/>
      <w:rPr>
        <w:sz w:val="22"/>
      </w:rPr>
    </w:pPr>
    <w:r w:rsidRPr="000E5BEA">
      <w:rPr>
        <w:sz w:val="22"/>
      </w:rPr>
      <w:t>NAVY-</w:t>
    </w:r>
    <w:sdt>
      <w:sdtPr>
        <w:rPr>
          <w:sz w:val="22"/>
        </w:rPr>
        <w:id w:val="-1037196072"/>
        <w:docPartObj>
          <w:docPartGallery w:val="Page Numbers (Bottom of Page)"/>
          <w:docPartUnique/>
        </w:docPartObj>
      </w:sdtPr>
      <w:sdtEndPr>
        <w:rPr>
          <w:noProof/>
        </w:rPr>
      </w:sdtEndPr>
      <w:sdtContent>
        <w:r w:rsidRPr="000E5BEA">
          <w:rPr>
            <w:sz w:val="22"/>
          </w:rPr>
          <w:fldChar w:fldCharType="begin"/>
        </w:r>
        <w:r w:rsidRPr="000E5BEA">
          <w:rPr>
            <w:sz w:val="22"/>
          </w:rPr>
          <w:instrText xml:space="preserve"> PAGE   \* MERGEFORMAT </w:instrText>
        </w:r>
        <w:r w:rsidRPr="000E5BEA">
          <w:rPr>
            <w:sz w:val="22"/>
          </w:rPr>
          <w:fldChar w:fldCharType="separate"/>
        </w:r>
        <w:r w:rsidRPr="000E5BEA">
          <w:rPr>
            <w:noProof/>
            <w:sz w:val="22"/>
          </w:rPr>
          <w:t>2</w:t>
        </w:r>
        <w:r w:rsidRPr="000E5BEA">
          <w:rPr>
            <w:noProof/>
            <w:sz w:val="22"/>
          </w:rPr>
          <w:fldChar w:fldCharType="end"/>
        </w:r>
      </w:sdtContent>
    </w:sdt>
  </w:p>
  <w:p w14:paraId="3FE8349E" w14:textId="77777777" w:rsidR="000E5BEA" w:rsidRDefault="000E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185A" w14:textId="40BD3002" w:rsidR="002A1D52" w:rsidRPr="00111AA1" w:rsidRDefault="00111AA1">
    <w:pPr>
      <w:pStyle w:val="Footer"/>
      <w:jc w:val="center"/>
      <w:rPr>
        <w:sz w:val="22"/>
      </w:rPr>
    </w:pPr>
    <w:r w:rsidRPr="00111AA1">
      <w:rPr>
        <w:sz w:val="22"/>
      </w:rPr>
      <w:t>NAVY-</w:t>
    </w:r>
    <w:sdt>
      <w:sdtPr>
        <w:rPr>
          <w:sz w:val="22"/>
        </w:rPr>
        <w:id w:val="1565066663"/>
        <w:docPartObj>
          <w:docPartGallery w:val="Page Numbers (Bottom of Page)"/>
          <w:docPartUnique/>
        </w:docPartObj>
      </w:sdtPr>
      <w:sdtEndPr>
        <w:rPr>
          <w:noProof/>
        </w:rPr>
      </w:sdtEndPr>
      <w:sdtContent>
        <w:r w:rsidR="002A1D52" w:rsidRPr="00111AA1">
          <w:rPr>
            <w:sz w:val="22"/>
          </w:rPr>
          <w:fldChar w:fldCharType="begin"/>
        </w:r>
        <w:r w:rsidR="002A1D52" w:rsidRPr="00111AA1">
          <w:rPr>
            <w:sz w:val="22"/>
          </w:rPr>
          <w:instrText xml:space="preserve"> PAGE   \* MERGEFORMAT </w:instrText>
        </w:r>
        <w:r w:rsidR="002A1D52" w:rsidRPr="00111AA1">
          <w:rPr>
            <w:sz w:val="22"/>
          </w:rPr>
          <w:fldChar w:fldCharType="separate"/>
        </w:r>
        <w:r w:rsidR="002A1D52" w:rsidRPr="00111AA1">
          <w:rPr>
            <w:noProof/>
            <w:sz w:val="22"/>
          </w:rPr>
          <w:t>2</w:t>
        </w:r>
        <w:r w:rsidR="002A1D52" w:rsidRPr="00111AA1">
          <w:rPr>
            <w:noProof/>
            <w:sz w:val="22"/>
          </w:rPr>
          <w:fldChar w:fldCharType="end"/>
        </w:r>
      </w:sdtContent>
    </w:sdt>
  </w:p>
  <w:p w14:paraId="5F861803" w14:textId="77777777" w:rsidR="001913AD" w:rsidRDefault="0019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E30A" w14:textId="77777777" w:rsidR="00CA2F54" w:rsidRDefault="00CA2F54" w:rsidP="00A95D3E">
      <w:r>
        <w:separator/>
      </w:r>
    </w:p>
  </w:footnote>
  <w:footnote w:type="continuationSeparator" w:id="0">
    <w:p w14:paraId="3D42DDCF" w14:textId="77777777" w:rsidR="00CA2F54" w:rsidRDefault="00CA2F54"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B6"/>
    <w:multiLevelType w:val="hybridMultilevel"/>
    <w:tmpl w:val="2C401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F47022">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2B75"/>
    <w:multiLevelType w:val="hybridMultilevel"/>
    <w:tmpl w:val="D44CF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279C4"/>
    <w:multiLevelType w:val="hybridMultilevel"/>
    <w:tmpl w:val="4E62745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B5FB3"/>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001DDD"/>
    <w:multiLevelType w:val="hybridMultilevel"/>
    <w:tmpl w:val="E068A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84BB2"/>
    <w:multiLevelType w:val="hybridMultilevel"/>
    <w:tmpl w:val="7E0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C0E82"/>
    <w:multiLevelType w:val="hybridMultilevel"/>
    <w:tmpl w:val="8340C296"/>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25BF4"/>
    <w:multiLevelType w:val="hybridMultilevel"/>
    <w:tmpl w:val="CE4E1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821D9"/>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B0111"/>
    <w:multiLevelType w:val="hybridMultilevel"/>
    <w:tmpl w:val="0FBC0CF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5791"/>
    <w:multiLevelType w:val="hybridMultilevel"/>
    <w:tmpl w:val="2534C04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560F1"/>
    <w:multiLevelType w:val="hybridMultilevel"/>
    <w:tmpl w:val="F9E6A56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C624F"/>
    <w:multiLevelType w:val="hybridMultilevel"/>
    <w:tmpl w:val="106C683C"/>
    <w:lvl w:ilvl="0" w:tplc="04090019">
      <w:start w:val="1"/>
      <w:numFmt w:val="lowerLetter"/>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114A0C"/>
    <w:multiLevelType w:val="hybridMultilevel"/>
    <w:tmpl w:val="EC7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D6718"/>
    <w:multiLevelType w:val="hybridMultilevel"/>
    <w:tmpl w:val="B3A43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23C77"/>
    <w:multiLevelType w:val="hybridMultilevel"/>
    <w:tmpl w:val="DD023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C64A8"/>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C327A"/>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A3D21"/>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BE29FE"/>
    <w:multiLevelType w:val="hybridMultilevel"/>
    <w:tmpl w:val="408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4E05F7"/>
    <w:multiLevelType w:val="hybridMultilevel"/>
    <w:tmpl w:val="6C649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8C820FC">
      <w:start w:val="1"/>
      <w:numFmt w:val="decimal"/>
      <w:lvlText w:val="%4)"/>
      <w:lvlJc w:val="left"/>
      <w:pPr>
        <w:ind w:left="3600" w:hanging="360"/>
      </w:pPr>
      <w:rPr>
        <w:rFonts w:hint="default"/>
      </w:rPr>
    </w:lvl>
    <w:lvl w:ilvl="4" w:tplc="D108D102">
      <w:start w:val="1"/>
      <w:numFmt w:val="decimal"/>
      <w:lvlText w:val="(%5)"/>
      <w:lvlJc w:val="left"/>
      <w:pPr>
        <w:ind w:left="4320" w:hanging="360"/>
      </w:pPr>
      <w:rPr>
        <w:rFonts w:hint="default"/>
      </w:rPr>
    </w:lvl>
    <w:lvl w:ilvl="5" w:tplc="A03C9C6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E7556A0"/>
    <w:multiLevelType w:val="hybridMultilevel"/>
    <w:tmpl w:val="6EEE0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E24AD2"/>
    <w:multiLevelType w:val="hybridMultilevel"/>
    <w:tmpl w:val="3B745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42C7E"/>
    <w:multiLevelType w:val="hybridMultilevel"/>
    <w:tmpl w:val="3C226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84FF4"/>
    <w:multiLevelType w:val="hybridMultilevel"/>
    <w:tmpl w:val="005E64A8"/>
    <w:lvl w:ilvl="0" w:tplc="0409000F">
      <w:start w:val="1"/>
      <w:numFmt w:val="decimal"/>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7"/>
  </w:num>
  <w:num w:numId="3">
    <w:abstractNumId w:val="21"/>
  </w:num>
  <w:num w:numId="4">
    <w:abstractNumId w:val="8"/>
  </w:num>
  <w:num w:numId="5">
    <w:abstractNumId w:val="28"/>
  </w:num>
  <w:num w:numId="6">
    <w:abstractNumId w:val="2"/>
  </w:num>
  <w:num w:numId="7">
    <w:abstractNumId w:val="7"/>
  </w:num>
  <w:num w:numId="8">
    <w:abstractNumId w:val="26"/>
  </w:num>
  <w:num w:numId="9">
    <w:abstractNumId w:val="12"/>
  </w:num>
  <w:num w:numId="10">
    <w:abstractNumId w:val="11"/>
  </w:num>
  <w:num w:numId="11">
    <w:abstractNumId w:val="13"/>
  </w:num>
  <w:num w:numId="12">
    <w:abstractNumId w:val="5"/>
  </w:num>
  <w:num w:numId="13">
    <w:abstractNumId w:val="22"/>
  </w:num>
  <w:num w:numId="14">
    <w:abstractNumId w:val="6"/>
  </w:num>
  <w:num w:numId="15">
    <w:abstractNumId w:val="1"/>
  </w:num>
  <w:num w:numId="16">
    <w:abstractNumId w:val="24"/>
  </w:num>
  <w:num w:numId="17">
    <w:abstractNumId w:val="3"/>
  </w:num>
  <w:num w:numId="18">
    <w:abstractNumId w:val="14"/>
  </w:num>
  <w:num w:numId="19">
    <w:abstractNumId w:val="20"/>
  </w:num>
  <w:num w:numId="20">
    <w:abstractNumId w:val="0"/>
  </w:num>
  <w:num w:numId="21">
    <w:abstractNumId w:val="23"/>
  </w:num>
  <w:num w:numId="22">
    <w:abstractNumId w:val="29"/>
  </w:num>
  <w:num w:numId="23">
    <w:abstractNumId w:val="25"/>
  </w:num>
  <w:num w:numId="24">
    <w:abstractNumId w:val="9"/>
  </w:num>
  <w:num w:numId="25">
    <w:abstractNumId w:val="17"/>
  </w:num>
  <w:num w:numId="26">
    <w:abstractNumId w:val="18"/>
  </w:num>
  <w:num w:numId="27">
    <w:abstractNumId w:val="15"/>
  </w:num>
  <w:num w:numId="28">
    <w:abstractNumId w:val="10"/>
  </w:num>
  <w:num w:numId="29">
    <w:abstractNumId w:val="16"/>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56BA"/>
    <w:rsid w:val="00010DC3"/>
    <w:rsid w:val="000137D5"/>
    <w:rsid w:val="000147DD"/>
    <w:rsid w:val="000158B8"/>
    <w:rsid w:val="00015988"/>
    <w:rsid w:val="00016172"/>
    <w:rsid w:val="00016536"/>
    <w:rsid w:val="00024125"/>
    <w:rsid w:val="00024F55"/>
    <w:rsid w:val="000251AD"/>
    <w:rsid w:val="0002733C"/>
    <w:rsid w:val="000276C4"/>
    <w:rsid w:val="00027A8D"/>
    <w:rsid w:val="00036A9F"/>
    <w:rsid w:val="00037888"/>
    <w:rsid w:val="00037D84"/>
    <w:rsid w:val="00040D25"/>
    <w:rsid w:val="00041E8A"/>
    <w:rsid w:val="00042389"/>
    <w:rsid w:val="000426C6"/>
    <w:rsid w:val="00042B92"/>
    <w:rsid w:val="00043AEE"/>
    <w:rsid w:val="00053E7C"/>
    <w:rsid w:val="0005578D"/>
    <w:rsid w:val="00056446"/>
    <w:rsid w:val="00057591"/>
    <w:rsid w:val="000609EC"/>
    <w:rsid w:val="00060E35"/>
    <w:rsid w:val="00063932"/>
    <w:rsid w:val="0006478E"/>
    <w:rsid w:val="00065EAF"/>
    <w:rsid w:val="0006770B"/>
    <w:rsid w:val="000715C3"/>
    <w:rsid w:val="000730CA"/>
    <w:rsid w:val="00074283"/>
    <w:rsid w:val="00074C10"/>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94F0E"/>
    <w:rsid w:val="000A3E1D"/>
    <w:rsid w:val="000A5328"/>
    <w:rsid w:val="000A5A85"/>
    <w:rsid w:val="000B1D27"/>
    <w:rsid w:val="000B3E93"/>
    <w:rsid w:val="000B4D84"/>
    <w:rsid w:val="000B5F6C"/>
    <w:rsid w:val="000B690B"/>
    <w:rsid w:val="000B6A03"/>
    <w:rsid w:val="000B7827"/>
    <w:rsid w:val="000B7F81"/>
    <w:rsid w:val="000C015C"/>
    <w:rsid w:val="000C17D1"/>
    <w:rsid w:val="000C2268"/>
    <w:rsid w:val="000C4F3E"/>
    <w:rsid w:val="000C7B79"/>
    <w:rsid w:val="000C7ED2"/>
    <w:rsid w:val="000D0170"/>
    <w:rsid w:val="000D0D97"/>
    <w:rsid w:val="000D0E69"/>
    <w:rsid w:val="000D1458"/>
    <w:rsid w:val="000D2303"/>
    <w:rsid w:val="000D2751"/>
    <w:rsid w:val="000D39D1"/>
    <w:rsid w:val="000D4A4B"/>
    <w:rsid w:val="000D7A93"/>
    <w:rsid w:val="000E2B10"/>
    <w:rsid w:val="000E3822"/>
    <w:rsid w:val="000E4F53"/>
    <w:rsid w:val="000E5BEA"/>
    <w:rsid w:val="000E7163"/>
    <w:rsid w:val="000F081C"/>
    <w:rsid w:val="000F100D"/>
    <w:rsid w:val="000F3518"/>
    <w:rsid w:val="000F3A38"/>
    <w:rsid w:val="000F46C1"/>
    <w:rsid w:val="000F5F4F"/>
    <w:rsid w:val="000F6065"/>
    <w:rsid w:val="000F7D32"/>
    <w:rsid w:val="00101199"/>
    <w:rsid w:val="00101312"/>
    <w:rsid w:val="0010186A"/>
    <w:rsid w:val="001053B2"/>
    <w:rsid w:val="001053DA"/>
    <w:rsid w:val="00106604"/>
    <w:rsid w:val="00106F3E"/>
    <w:rsid w:val="00107FB4"/>
    <w:rsid w:val="00110C72"/>
    <w:rsid w:val="00110CE9"/>
    <w:rsid w:val="00111AA1"/>
    <w:rsid w:val="00112391"/>
    <w:rsid w:val="00112AE8"/>
    <w:rsid w:val="001153D7"/>
    <w:rsid w:val="00115EA6"/>
    <w:rsid w:val="0012465D"/>
    <w:rsid w:val="0012567E"/>
    <w:rsid w:val="0013197E"/>
    <w:rsid w:val="00132E15"/>
    <w:rsid w:val="0013661A"/>
    <w:rsid w:val="00137838"/>
    <w:rsid w:val="00141F42"/>
    <w:rsid w:val="00142178"/>
    <w:rsid w:val="001422FA"/>
    <w:rsid w:val="00142D3C"/>
    <w:rsid w:val="001434B1"/>
    <w:rsid w:val="00144FEE"/>
    <w:rsid w:val="00145AAC"/>
    <w:rsid w:val="00150B6A"/>
    <w:rsid w:val="001510C1"/>
    <w:rsid w:val="00153385"/>
    <w:rsid w:val="00154877"/>
    <w:rsid w:val="001557EA"/>
    <w:rsid w:val="001560B7"/>
    <w:rsid w:val="00156557"/>
    <w:rsid w:val="001620E5"/>
    <w:rsid w:val="00165C77"/>
    <w:rsid w:val="001675F4"/>
    <w:rsid w:val="00167824"/>
    <w:rsid w:val="00173020"/>
    <w:rsid w:val="001736C8"/>
    <w:rsid w:val="00174C24"/>
    <w:rsid w:val="0017592A"/>
    <w:rsid w:val="00177307"/>
    <w:rsid w:val="00177CB1"/>
    <w:rsid w:val="00181B7F"/>
    <w:rsid w:val="0018211A"/>
    <w:rsid w:val="00182732"/>
    <w:rsid w:val="001842AD"/>
    <w:rsid w:val="00184EDB"/>
    <w:rsid w:val="001853E5"/>
    <w:rsid w:val="00186EFB"/>
    <w:rsid w:val="001913AD"/>
    <w:rsid w:val="00191918"/>
    <w:rsid w:val="00192BC5"/>
    <w:rsid w:val="00193154"/>
    <w:rsid w:val="001951DE"/>
    <w:rsid w:val="0019693B"/>
    <w:rsid w:val="001A2EB9"/>
    <w:rsid w:val="001A457A"/>
    <w:rsid w:val="001A4A9C"/>
    <w:rsid w:val="001A7660"/>
    <w:rsid w:val="001B078F"/>
    <w:rsid w:val="001B22FE"/>
    <w:rsid w:val="001B3895"/>
    <w:rsid w:val="001B4866"/>
    <w:rsid w:val="001C02DF"/>
    <w:rsid w:val="001C177F"/>
    <w:rsid w:val="001C2C11"/>
    <w:rsid w:val="001C53E9"/>
    <w:rsid w:val="001C6139"/>
    <w:rsid w:val="001D14F6"/>
    <w:rsid w:val="001D2BDF"/>
    <w:rsid w:val="001D6E7D"/>
    <w:rsid w:val="001E0F7F"/>
    <w:rsid w:val="001E13F6"/>
    <w:rsid w:val="001E1D43"/>
    <w:rsid w:val="001E50F9"/>
    <w:rsid w:val="001E5CB2"/>
    <w:rsid w:val="001E5E98"/>
    <w:rsid w:val="001F056E"/>
    <w:rsid w:val="001F0E7D"/>
    <w:rsid w:val="001F453B"/>
    <w:rsid w:val="001F799D"/>
    <w:rsid w:val="00203B92"/>
    <w:rsid w:val="00203FE8"/>
    <w:rsid w:val="002046C5"/>
    <w:rsid w:val="00206CF2"/>
    <w:rsid w:val="0020707F"/>
    <w:rsid w:val="00213A13"/>
    <w:rsid w:val="00213A17"/>
    <w:rsid w:val="00214F52"/>
    <w:rsid w:val="00215615"/>
    <w:rsid w:val="00215C0D"/>
    <w:rsid w:val="0021653A"/>
    <w:rsid w:val="00216B92"/>
    <w:rsid w:val="00217B85"/>
    <w:rsid w:val="0022161F"/>
    <w:rsid w:val="00221832"/>
    <w:rsid w:val="002251D4"/>
    <w:rsid w:val="00227979"/>
    <w:rsid w:val="00230BD0"/>
    <w:rsid w:val="00230E60"/>
    <w:rsid w:val="00230E89"/>
    <w:rsid w:val="002320DC"/>
    <w:rsid w:val="00233EC0"/>
    <w:rsid w:val="0023410C"/>
    <w:rsid w:val="00234F8E"/>
    <w:rsid w:val="00235699"/>
    <w:rsid w:val="00237734"/>
    <w:rsid w:val="00240709"/>
    <w:rsid w:val="002414AA"/>
    <w:rsid w:val="00245B57"/>
    <w:rsid w:val="00247345"/>
    <w:rsid w:val="002508BD"/>
    <w:rsid w:val="00253280"/>
    <w:rsid w:val="002539AF"/>
    <w:rsid w:val="002542E4"/>
    <w:rsid w:val="00255DA0"/>
    <w:rsid w:val="00260992"/>
    <w:rsid w:val="00260A79"/>
    <w:rsid w:val="00261B65"/>
    <w:rsid w:val="00262DFF"/>
    <w:rsid w:val="00262E84"/>
    <w:rsid w:val="00264E6F"/>
    <w:rsid w:val="00267DBE"/>
    <w:rsid w:val="002701B5"/>
    <w:rsid w:val="0027094D"/>
    <w:rsid w:val="00271069"/>
    <w:rsid w:val="002719EE"/>
    <w:rsid w:val="0027236C"/>
    <w:rsid w:val="002776DF"/>
    <w:rsid w:val="00277B42"/>
    <w:rsid w:val="00280EE9"/>
    <w:rsid w:val="002814CA"/>
    <w:rsid w:val="00281D99"/>
    <w:rsid w:val="0028206F"/>
    <w:rsid w:val="002821EF"/>
    <w:rsid w:val="002844FA"/>
    <w:rsid w:val="00284787"/>
    <w:rsid w:val="0029273C"/>
    <w:rsid w:val="00293B7C"/>
    <w:rsid w:val="00297453"/>
    <w:rsid w:val="0029790D"/>
    <w:rsid w:val="00297994"/>
    <w:rsid w:val="002A0F4C"/>
    <w:rsid w:val="002A1D52"/>
    <w:rsid w:val="002A234B"/>
    <w:rsid w:val="002A33F6"/>
    <w:rsid w:val="002A44A7"/>
    <w:rsid w:val="002A4959"/>
    <w:rsid w:val="002A611E"/>
    <w:rsid w:val="002B16F3"/>
    <w:rsid w:val="002B184D"/>
    <w:rsid w:val="002B30F3"/>
    <w:rsid w:val="002B36CA"/>
    <w:rsid w:val="002B3CC5"/>
    <w:rsid w:val="002B63E5"/>
    <w:rsid w:val="002B76BD"/>
    <w:rsid w:val="002C05AF"/>
    <w:rsid w:val="002C11E6"/>
    <w:rsid w:val="002C151E"/>
    <w:rsid w:val="002C18B8"/>
    <w:rsid w:val="002C2AB8"/>
    <w:rsid w:val="002C3712"/>
    <w:rsid w:val="002C5DA4"/>
    <w:rsid w:val="002C6E29"/>
    <w:rsid w:val="002D1B56"/>
    <w:rsid w:val="002D29F9"/>
    <w:rsid w:val="002D2CA3"/>
    <w:rsid w:val="002D49AC"/>
    <w:rsid w:val="002D4AEF"/>
    <w:rsid w:val="002D6AD8"/>
    <w:rsid w:val="002E367A"/>
    <w:rsid w:val="002E37EF"/>
    <w:rsid w:val="002E3A5A"/>
    <w:rsid w:val="002E3D08"/>
    <w:rsid w:val="002F1CA9"/>
    <w:rsid w:val="002F21A9"/>
    <w:rsid w:val="002F2372"/>
    <w:rsid w:val="003068A9"/>
    <w:rsid w:val="00310618"/>
    <w:rsid w:val="00310710"/>
    <w:rsid w:val="0031089B"/>
    <w:rsid w:val="00310EEE"/>
    <w:rsid w:val="003144C7"/>
    <w:rsid w:val="00315D73"/>
    <w:rsid w:val="00315DA1"/>
    <w:rsid w:val="003164C7"/>
    <w:rsid w:val="00324403"/>
    <w:rsid w:val="00326AAB"/>
    <w:rsid w:val="00330B7E"/>
    <w:rsid w:val="00331CF6"/>
    <w:rsid w:val="00334549"/>
    <w:rsid w:val="0033465A"/>
    <w:rsid w:val="0033545D"/>
    <w:rsid w:val="00336127"/>
    <w:rsid w:val="00337C0F"/>
    <w:rsid w:val="00341414"/>
    <w:rsid w:val="0034262E"/>
    <w:rsid w:val="00342F77"/>
    <w:rsid w:val="00343E4D"/>
    <w:rsid w:val="003445FD"/>
    <w:rsid w:val="0034501D"/>
    <w:rsid w:val="00353BEE"/>
    <w:rsid w:val="00354969"/>
    <w:rsid w:val="003551D5"/>
    <w:rsid w:val="00356649"/>
    <w:rsid w:val="003602B5"/>
    <w:rsid w:val="00361A1B"/>
    <w:rsid w:val="00362AC4"/>
    <w:rsid w:val="00363255"/>
    <w:rsid w:val="00365294"/>
    <w:rsid w:val="00365B20"/>
    <w:rsid w:val="00371AD7"/>
    <w:rsid w:val="003724B9"/>
    <w:rsid w:val="00372BF3"/>
    <w:rsid w:val="0037328C"/>
    <w:rsid w:val="00373725"/>
    <w:rsid w:val="003819B2"/>
    <w:rsid w:val="003820CD"/>
    <w:rsid w:val="003827B6"/>
    <w:rsid w:val="00384B68"/>
    <w:rsid w:val="00384BF4"/>
    <w:rsid w:val="00386563"/>
    <w:rsid w:val="00387F5A"/>
    <w:rsid w:val="003933DF"/>
    <w:rsid w:val="00394385"/>
    <w:rsid w:val="00394CD8"/>
    <w:rsid w:val="00395CB0"/>
    <w:rsid w:val="003A0205"/>
    <w:rsid w:val="003A7DCD"/>
    <w:rsid w:val="003B1475"/>
    <w:rsid w:val="003B3223"/>
    <w:rsid w:val="003B40CB"/>
    <w:rsid w:val="003B4D3C"/>
    <w:rsid w:val="003B565C"/>
    <w:rsid w:val="003B5E9C"/>
    <w:rsid w:val="003C0718"/>
    <w:rsid w:val="003C55BC"/>
    <w:rsid w:val="003D0E09"/>
    <w:rsid w:val="003D4199"/>
    <w:rsid w:val="003D5042"/>
    <w:rsid w:val="003D576E"/>
    <w:rsid w:val="003D6CF3"/>
    <w:rsid w:val="003E072E"/>
    <w:rsid w:val="003E12BB"/>
    <w:rsid w:val="003E253C"/>
    <w:rsid w:val="003E29D8"/>
    <w:rsid w:val="003E341D"/>
    <w:rsid w:val="003E7007"/>
    <w:rsid w:val="003E7B72"/>
    <w:rsid w:val="003F307D"/>
    <w:rsid w:val="003F3994"/>
    <w:rsid w:val="003F7201"/>
    <w:rsid w:val="003F79BD"/>
    <w:rsid w:val="004009CD"/>
    <w:rsid w:val="004044EE"/>
    <w:rsid w:val="00405445"/>
    <w:rsid w:val="004055F2"/>
    <w:rsid w:val="00407ABE"/>
    <w:rsid w:val="00410C4D"/>
    <w:rsid w:val="0041138E"/>
    <w:rsid w:val="00421C24"/>
    <w:rsid w:val="00422E15"/>
    <w:rsid w:val="00422EAB"/>
    <w:rsid w:val="00423025"/>
    <w:rsid w:val="00423A38"/>
    <w:rsid w:val="00425259"/>
    <w:rsid w:val="0042564B"/>
    <w:rsid w:val="00427BB5"/>
    <w:rsid w:val="00435B91"/>
    <w:rsid w:val="00436089"/>
    <w:rsid w:val="0044201F"/>
    <w:rsid w:val="00444D86"/>
    <w:rsid w:val="00445EC1"/>
    <w:rsid w:val="0045153F"/>
    <w:rsid w:val="00451965"/>
    <w:rsid w:val="00452A20"/>
    <w:rsid w:val="00453FA9"/>
    <w:rsid w:val="0045557A"/>
    <w:rsid w:val="004569C6"/>
    <w:rsid w:val="00460D5E"/>
    <w:rsid w:val="0046300A"/>
    <w:rsid w:val="0046328E"/>
    <w:rsid w:val="004637A8"/>
    <w:rsid w:val="00467A7F"/>
    <w:rsid w:val="00470460"/>
    <w:rsid w:val="004731E8"/>
    <w:rsid w:val="00473B79"/>
    <w:rsid w:val="00473BFC"/>
    <w:rsid w:val="00474642"/>
    <w:rsid w:val="00475BB1"/>
    <w:rsid w:val="00476305"/>
    <w:rsid w:val="00477019"/>
    <w:rsid w:val="004773B3"/>
    <w:rsid w:val="00480B95"/>
    <w:rsid w:val="00483086"/>
    <w:rsid w:val="00483F85"/>
    <w:rsid w:val="00484642"/>
    <w:rsid w:val="004854A1"/>
    <w:rsid w:val="00486CA4"/>
    <w:rsid w:val="0049682E"/>
    <w:rsid w:val="004976DB"/>
    <w:rsid w:val="004A15CE"/>
    <w:rsid w:val="004A467E"/>
    <w:rsid w:val="004B2CD9"/>
    <w:rsid w:val="004B6B5B"/>
    <w:rsid w:val="004B7EE4"/>
    <w:rsid w:val="004C0306"/>
    <w:rsid w:val="004C0772"/>
    <w:rsid w:val="004C0F86"/>
    <w:rsid w:val="004C55A9"/>
    <w:rsid w:val="004C63AC"/>
    <w:rsid w:val="004C7FBF"/>
    <w:rsid w:val="004D0791"/>
    <w:rsid w:val="004D138D"/>
    <w:rsid w:val="004D16A4"/>
    <w:rsid w:val="004D6474"/>
    <w:rsid w:val="004D676F"/>
    <w:rsid w:val="004D713F"/>
    <w:rsid w:val="004E04F9"/>
    <w:rsid w:val="004E086B"/>
    <w:rsid w:val="004E0D3F"/>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7201"/>
    <w:rsid w:val="004F7A13"/>
    <w:rsid w:val="0050345D"/>
    <w:rsid w:val="00506C20"/>
    <w:rsid w:val="00507355"/>
    <w:rsid w:val="00507FC9"/>
    <w:rsid w:val="00510C8D"/>
    <w:rsid w:val="005126B7"/>
    <w:rsid w:val="00512C4E"/>
    <w:rsid w:val="00513899"/>
    <w:rsid w:val="00514EC1"/>
    <w:rsid w:val="0051506C"/>
    <w:rsid w:val="00516884"/>
    <w:rsid w:val="00520691"/>
    <w:rsid w:val="005208BD"/>
    <w:rsid w:val="00520AC9"/>
    <w:rsid w:val="005248D3"/>
    <w:rsid w:val="00525AE4"/>
    <w:rsid w:val="00531E82"/>
    <w:rsid w:val="005351BA"/>
    <w:rsid w:val="00536A9E"/>
    <w:rsid w:val="0053763A"/>
    <w:rsid w:val="0054090D"/>
    <w:rsid w:val="00540C7F"/>
    <w:rsid w:val="00543251"/>
    <w:rsid w:val="00544429"/>
    <w:rsid w:val="005462E1"/>
    <w:rsid w:val="00547721"/>
    <w:rsid w:val="00547BA7"/>
    <w:rsid w:val="00552C76"/>
    <w:rsid w:val="00553547"/>
    <w:rsid w:val="00553E1F"/>
    <w:rsid w:val="00554C57"/>
    <w:rsid w:val="00555B88"/>
    <w:rsid w:val="00555C7F"/>
    <w:rsid w:val="0055797C"/>
    <w:rsid w:val="00560AD3"/>
    <w:rsid w:val="005618B4"/>
    <w:rsid w:val="00561916"/>
    <w:rsid w:val="005632F8"/>
    <w:rsid w:val="0056399B"/>
    <w:rsid w:val="005668BD"/>
    <w:rsid w:val="00567584"/>
    <w:rsid w:val="00576A94"/>
    <w:rsid w:val="00577D16"/>
    <w:rsid w:val="00577DC8"/>
    <w:rsid w:val="00581301"/>
    <w:rsid w:val="00581573"/>
    <w:rsid w:val="005844AF"/>
    <w:rsid w:val="00584E59"/>
    <w:rsid w:val="00586DAC"/>
    <w:rsid w:val="0058708E"/>
    <w:rsid w:val="00590281"/>
    <w:rsid w:val="00592DEE"/>
    <w:rsid w:val="00593A76"/>
    <w:rsid w:val="00596D9F"/>
    <w:rsid w:val="0059787C"/>
    <w:rsid w:val="00597ED4"/>
    <w:rsid w:val="005A05BE"/>
    <w:rsid w:val="005A0FEE"/>
    <w:rsid w:val="005A1118"/>
    <w:rsid w:val="005A1578"/>
    <w:rsid w:val="005A1EF7"/>
    <w:rsid w:val="005A349D"/>
    <w:rsid w:val="005A39F7"/>
    <w:rsid w:val="005A6C54"/>
    <w:rsid w:val="005A6C5F"/>
    <w:rsid w:val="005A6DF7"/>
    <w:rsid w:val="005A7D9D"/>
    <w:rsid w:val="005B20B5"/>
    <w:rsid w:val="005B4538"/>
    <w:rsid w:val="005B46E2"/>
    <w:rsid w:val="005B47BA"/>
    <w:rsid w:val="005B6AD1"/>
    <w:rsid w:val="005B7C3D"/>
    <w:rsid w:val="005C3915"/>
    <w:rsid w:val="005C3A03"/>
    <w:rsid w:val="005C4847"/>
    <w:rsid w:val="005C51B6"/>
    <w:rsid w:val="005C5418"/>
    <w:rsid w:val="005C65D8"/>
    <w:rsid w:val="005C6A4A"/>
    <w:rsid w:val="005D015E"/>
    <w:rsid w:val="005D04EC"/>
    <w:rsid w:val="005D0AD5"/>
    <w:rsid w:val="005D0E37"/>
    <w:rsid w:val="005D1812"/>
    <w:rsid w:val="005D3AD2"/>
    <w:rsid w:val="005D3D4D"/>
    <w:rsid w:val="005D432E"/>
    <w:rsid w:val="005D4D6E"/>
    <w:rsid w:val="005E0012"/>
    <w:rsid w:val="005E0CC8"/>
    <w:rsid w:val="005E2CD0"/>
    <w:rsid w:val="005E42A2"/>
    <w:rsid w:val="005E5BEB"/>
    <w:rsid w:val="005E651E"/>
    <w:rsid w:val="005E68F4"/>
    <w:rsid w:val="005E77FB"/>
    <w:rsid w:val="005F1220"/>
    <w:rsid w:val="005F123F"/>
    <w:rsid w:val="005F1EF7"/>
    <w:rsid w:val="005F5B27"/>
    <w:rsid w:val="005F6468"/>
    <w:rsid w:val="005F655D"/>
    <w:rsid w:val="005F6B05"/>
    <w:rsid w:val="00602823"/>
    <w:rsid w:val="00602DAB"/>
    <w:rsid w:val="00605F1D"/>
    <w:rsid w:val="006107AB"/>
    <w:rsid w:val="00610D0B"/>
    <w:rsid w:val="00611033"/>
    <w:rsid w:val="00612424"/>
    <w:rsid w:val="0061684C"/>
    <w:rsid w:val="00617AA1"/>
    <w:rsid w:val="00617E43"/>
    <w:rsid w:val="00617F5E"/>
    <w:rsid w:val="0062014F"/>
    <w:rsid w:val="00620294"/>
    <w:rsid w:val="006211D9"/>
    <w:rsid w:val="00622149"/>
    <w:rsid w:val="00623CF1"/>
    <w:rsid w:val="00626543"/>
    <w:rsid w:val="00627B15"/>
    <w:rsid w:val="00630566"/>
    <w:rsid w:val="00632243"/>
    <w:rsid w:val="00632C03"/>
    <w:rsid w:val="00632C2F"/>
    <w:rsid w:val="006372A3"/>
    <w:rsid w:val="00637868"/>
    <w:rsid w:val="00643579"/>
    <w:rsid w:val="00643DE9"/>
    <w:rsid w:val="006460A0"/>
    <w:rsid w:val="00650B63"/>
    <w:rsid w:val="006517AC"/>
    <w:rsid w:val="00652434"/>
    <w:rsid w:val="006530DE"/>
    <w:rsid w:val="00653450"/>
    <w:rsid w:val="0065490F"/>
    <w:rsid w:val="00660511"/>
    <w:rsid w:val="00661383"/>
    <w:rsid w:val="00663871"/>
    <w:rsid w:val="00663FCD"/>
    <w:rsid w:val="00664075"/>
    <w:rsid w:val="00666138"/>
    <w:rsid w:val="006663E6"/>
    <w:rsid w:val="006668D3"/>
    <w:rsid w:val="00667312"/>
    <w:rsid w:val="00670FDE"/>
    <w:rsid w:val="00672B25"/>
    <w:rsid w:val="00675A82"/>
    <w:rsid w:val="0068095C"/>
    <w:rsid w:val="006814BA"/>
    <w:rsid w:val="0068464B"/>
    <w:rsid w:val="0068660C"/>
    <w:rsid w:val="00686CB6"/>
    <w:rsid w:val="00687C9C"/>
    <w:rsid w:val="006928CF"/>
    <w:rsid w:val="006974B4"/>
    <w:rsid w:val="00697670"/>
    <w:rsid w:val="006A04D6"/>
    <w:rsid w:val="006A0B48"/>
    <w:rsid w:val="006A2C47"/>
    <w:rsid w:val="006A331C"/>
    <w:rsid w:val="006A3977"/>
    <w:rsid w:val="006A49EF"/>
    <w:rsid w:val="006A4F39"/>
    <w:rsid w:val="006A7900"/>
    <w:rsid w:val="006B34BC"/>
    <w:rsid w:val="006B5023"/>
    <w:rsid w:val="006B5724"/>
    <w:rsid w:val="006B6591"/>
    <w:rsid w:val="006B7669"/>
    <w:rsid w:val="006C05B1"/>
    <w:rsid w:val="006C35C2"/>
    <w:rsid w:val="006C4015"/>
    <w:rsid w:val="006C404C"/>
    <w:rsid w:val="006D01AE"/>
    <w:rsid w:val="006D05D4"/>
    <w:rsid w:val="006D2643"/>
    <w:rsid w:val="006D3F88"/>
    <w:rsid w:val="006D4E43"/>
    <w:rsid w:val="006D63D7"/>
    <w:rsid w:val="006D6AC7"/>
    <w:rsid w:val="006D73F8"/>
    <w:rsid w:val="006E10F2"/>
    <w:rsid w:val="006E121F"/>
    <w:rsid w:val="006E14A2"/>
    <w:rsid w:val="006E1DFF"/>
    <w:rsid w:val="006E5513"/>
    <w:rsid w:val="006E5D08"/>
    <w:rsid w:val="006E63C1"/>
    <w:rsid w:val="006F00D4"/>
    <w:rsid w:val="006F04D3"/>
    <w:rsid w:val="006F0B4A"/>
    <w:rsid w:val="006F0E0B"/>
    <w:rsid w:val="006F59F7"/>
    <w:rsid w:val="006F7FEA"/>
    <w:rsid w:val="00701298"/>
    <w:rsid w:val="007049FD"/>
    <w:rsid w:val="00707D7F"/>
    <w:rsid w:val="00712EA6"/>
    <w:rsid w:val="00713165"/>
    <w:rsid w:val="00714278"/>
    <w:rsid w:val="007146DD"/>
    <w:rsid w:val="00717775"/>
    <w:rsid w:val="00717CCC"/>
    <w:rsid w:val="00721BD7"/>
    <w:rsid w:val="00722D9B"/>
    <w:rsid w:val="0072470B"/>
    <w:rsid w:val="00724D7A"/>
    <w:rsid w:val="0072579C"/>
    <w:rsid w:val="00725CE5"/>
    <w:rsid w:val="0072627C"/>
    <w:rsid w:val="00733515"/>
    <w:rsid w:val="007341FB"/>
    <w:rsid w:val="0073495A"/>
    <w:rsid w:val="00736700"/>
    <w:rsid w:val="00736B39"/>
    <w:rsid w:val="00737025"/>
    <w:rsid w:val="007412C7"/>
    <w:rsid w:val="007415BA"/>
    <w:rsid w:val="00743148"/>
    <w:rsid w:val="007462F2"/>
    <w:rsid w:val="00746C50"/>
    <w:rsid w:val="00746D00"/>
    <w:rsid w:val="00746E4C"/>
    <w:rsid w:val="00750E03"/>
    <w:rsid w:val="007536C5"/>
    <w:rsid w:val="00755AEE"/>
    <w:rsid w:val="00760222"/>
    <w:rsid w:val="00762354"/>
    <w:rsid w:val="00762C18"/>
    <w:rsid w:val="00763D13"/>
    <w:rsid w:val="00764FF0"/>
    <w:rsid w:val="007656AC"/>
    <w:rsid w:val="007670F2"/>
    <w:rsid w:val="00771CC1"/>
    <w:rsid w:val="00772B4F"/>
    <w:rsid w:val="00773E6C"/>
    <w:rsid w:val="00774075"/>
    <w:rsid w:val="00781E92"/>
    <w:rsid w:val="00782C55"/>
    <w:rsid w:val="00783272"/>
    <w:rsid w:val="00784654"/>
    <w:rsid w:val="00785A88"/>
    <w:rsid w:val="0078659F"/>
    <w:rsid w:val="007872E5"/>
    <w:rsid w:val="00787D20"/>
    <w:rsid w:val="00792223"/>
    <w:rsid w:val="0079306D"/>
    <w:rsid w:val="00796B2B"/>
    <w:rsid w:val="00796E47"/>
    <w:rsid w:val="007A0BDA"/>
    <w:rsid w:val="007A0DD3"/>
    <w:rsid w:val="007A103D"/>
    <w:rsid w:val="007A1A0B"/>
    <w:rsid w:val="007A202E"/>
    <w:rsid w:val="007A4190"/>
    <w:rsid w:val="007B022A"/>
    <w:rsid w:val="007B24C3"/>
    <w:rsid w:val="007B383F"/>
    <w:rsid w:val="007B3942"/>
    <w:rsid w:val="007B4DB2"/>
    <w:rsid w:val="007B7A87"/>
    <w:rsid w:val="007C32B6"/>
    <w:rsid w:val="007C3360"/>
    <w:rsid w:val="007D1123"/>
    <w:rsid w:val="007D3144"/>
    <w:rsid w:val="007D33FC"/>
    <w:rsid w:val="007D4A91"/>
    <w:rsid w:val="007D4C08"/>
    <w:rsid w:val="007D5605"/>
    <w:rsid w:val="007D58FD"/>
    <w:rsid w:val="007D64C5"/>
    <w:rsid w:val="007D6BC7"/>
    <w:rsid w:val="007E011D"/>
    <w:rsid w:val="007E2FAD"/>
    <w:rsid w:val="007F1669"/>
    <w:rsid w:val="007F2064"/>
    <w:rsid w:val="007F27AE"/>
    <w:rsid w:val="007F3C88"/>
    <w:rsid w:val="007F4DEF"/>
    <w:rsid w:val="007F576B"/>
    <w:rsid w:val="007F5BC3"/>
    <w:rsid w:val="0080127B"/>
    <w:rsid w:val="008013CE"/>
    <w:rsid w:val="00801ECB"/>
    <w:rsid w:val="008037B5"/>
    <w:rsid w:val="00804922"/>
    <w:rsid w:val="008058D6"/>
    <w:rsid w:val="00806040"/>
    <w:rsid w:val="0080642E"/>
    <w:rsid w:val="00811A99"/>
    <w:rsid w:val="008128BE"/>
    <w:rsid w:val="008131F9"/>
    <w:rsid w:val="008148A7"/>
    <w:rsid w:val="00814CF2"/>
    <w:rsid w:val="00815331"/>
    <w:rsid w:val="00817A2B"/>
    <w:rsid w:val="00820C88"/>
    <w:rsid w:val="00820E0A"/>
    <w:rsid w:val="008218F8"/>
    <w:rsid w:val="008225BD"/>
    <w:rsid w:val="0082399C"/>
    <w:rsid w:val="008242DB"/>
    <w:rsid w:val="00827CB7"/>
    <w:rsid w:val="00831323"/>
    <w:rsid w:val="00832133"/>
    <w:rsid w:val="008333DA"/>
    <w:rsid w:val="0083376A"/>
    <w:rsid w:val="00834143"/>
    <w:rsid w:val="0083454A"/>
    <w:rsid w:val="008354F9"/>
    <w:rsid w:val="00835EE9"/>
    <w:rsid w:val="00836D7B"/>
    <w:rsid w:val="00837B55"/>
    <w:rsid w:val="00842AC4"/>
    <w:rsid w:val="00843DBC"/>
    <w:rsid w:val="0084535C"/>
    <w:rsid w:val="0084692F"/>
    <w:rsid w:val="00856886"/>
    <w:rsid w:val="00857D3F"/>
    <w:rsid w:val="0086049C"/>
    <w:rsid w:val="00860FC6"/>
    <w:rsid w:val="00861F1F"/>
    <w:rsid w:val="00862067"/>
    <w:rsid w:val="008629C8"/>
    <w:rsid w:val="00862FC6"/>
    <w:rsid w:val="00864038"/>
    <w:rsid w:val="00864C99"/>
    <w:rsid w:val="0086634E"/>
    <w:rsid w:val="00867372"/>
    <w:rsid w:val="00870FA1"/>
    <w:rsid w:val="00875072"/>
    <w:rsid w:val="00875DB8"/>
    <w:rsid w:val="00876596"/>
    <w:rsid w:val="0088064F"/>
    <w:rsid w:val="00880C5A"/>
    <w:rsid w:val="00882090"/>
    <w:rsid w:val="00884225"/>
    <w:rsid w:val="00884CC3"/>
    <w:rsid w:val="008856D1"/>
    <w:rsid w:val="0088583E"/>
    <w:rsid w:val="008870E9"/>
    <w:rsid w:val="00887DF6"/>
    <w:rsid w:val="00891783"/>
    <w:rsid w:val="00892690"/>
    <w:rsid w:val="00893286"/>
    <w:rsid w:val="00895207"/>
    <w:rsid w:val="008A0295"/>
    <w:rsid w:val="008A52D5"/>
    <w:rsid w:val="008A6B0A"/>
    <w:rsid w:val="008B134F"/>
    <w:rsid w:val="008B1D9F"/>
    <w:rsid w:val="008B2884"/>
    <w:rsid w:val="008B2C00"/>
    <w:rsid w:val="008B33AC"/>
    <w:rsid w:val="008B3F87"/>
    <w:rsid w:val="008B5B6B"/>
    <w:rsid w:val="008B761B"/>
    <w:rsid w:val="008B7888"/>
    <w:rsid w:val="008C1D12"/>
    <w:rsid w:val="008D20F4"/>
    <w:rsid w:val="008D2E22"/>
    <w:rsid w:val="008D3B63"/>
    <w:rsid w:val="008D40EB"/>
    <w:rsid w:val="008D41D9"/>
    <w:rsid w:val="008D4374"/>
    <w:rsid w:val="008D6979"/>
    <w:rsid w:val="008E329E"/>
    <w:rsid w:val="008E4A7D"/>
    <w:rsid w:val="008E53AF"/>
    <w:rsid w:val="008E62E3"/>
    <w:rsid w:val="008F0075"/>
    <w:rsid w:val="008F1C26"/>
    <w:rsid w:val="008F5BC6"/>
    <w:rsid w:val="00903D98"/>
    <w:rsid w:val="00906738"/>
    <w:rsid w:val="00906F17"/>
    <w:rsid w:val="0090710B"/>
    <w:rsid w:val="009102AE"/>
    <w:rsid w:val="00914760"/>
    <w:rsid w:val="00924392"/>
    <w:rsid w:val="00924D68"/>
    <w:rsid w:val="00930C10"/>
    <w:rsid w:val="00933EA4"/>
    <w:rsid w:val="00934A3A"/>
    <w:rsid w:val="00934A83"/>
    <w:rsid w:val="009431C3"/>
    <w:rsid w:val="00943D74"/>
    <w:rsid w:val="00957286"/>
    <w:rsid w:val="00957A68"/>
    <w:rsid w:val="00962664"/>
    <w:rsid w:val="00963D92"/>
    <w:rsid w:val="00964704"/>
    <w:rsid w:val="00965B5B"/>
    <w:rsid w:val="00966B5D"/>
    <w:rsid w:val="0097277D"/>
    <w:rsid w:val="00975017"/>
    <w:rsid w:val="00975453"/>
    <w:rsid w:val="00976DB6"/>
    <w:rsid w:val="009778B3"/>
    <w:rsid w:val="00983989"/>
    <w:rsid w:val="00984275"/>
    <w:rsid w:val="00985D54"/>
    <w:rsid w:val="00986AD2"/>
    <w:rsid w:val="0098788E"/>
    <w:rsid w:val="009908DC"/>
    <w:rsid w:val="009949ED"/>
    <w:rsid w:val="00995433"/>
    <w:rsid w:val="00995CED"/>
    <w:rsid w:val="0099678C"/>
    <w:rsid w:val="0099790F"/>
    <w:rsid w:val="009A31A5"/>
    <w:rsid w:val="009A3D91"/>
    <w:rsid w:val="009A4A17"/>
    <w:rsid w:val="009A4F5B"/>
    <w:rsid w:val="009A6319"/>
    <w:rsid w:val="009A7BE6"/>
    <w:rsid w:val="009B0F35"/>
    <w:rsid w:val="009B11E9"/>
    <w:rsid w:val="009B2DA6"/>
    <w:rsid w:val="009B5DD8"/>
    <w:rsid w:val="009B617E"/>
    <w:rsid w:val="009B7F94"/>
    <w:rsid w:val="009C016D"/>
    <w:rsid w:val="009C03F1"/>
    <w:rsid w:val="009C6380"/>
    <w:rsid w:val="009C668F"/>
    <w:rsid w:val="009D07F9"/>
    <w:rsid w:val="009D09A2"/>
    <w:rsid w:val="009D0F8F"/>
    <w:rsid w:val="009D2577"/>
    <w:rsid w:val="009D2C8A"/>
    <w:rsid w:val="009D3364"/>
    <w:rsid w:val="009D36DB"/>
    <w:rsid w:val="009D6458"/>
    <w:rsid w:val="009D68C0"/>
    <w:rsid w:val="009D7F16"/>
    <w:rsid w:val="009E1593"/>
    <w:rsid w:val="009E2911"/>
    <w:rsid w:val="009E39F4"/>
    <w:rsid w:val="009E3C54"/>
    <w:rsid w:val="009E3DC6"/>
    <w:rsid w:val="009E41AA"/>
    <w:rsid w:val="009E4876"/>
    <w:rsid w:val="009E55E8"/>
    <w:rsid w:val="009E753A"/>
    <w:rsid w:val="009E7D27"/>
    <w:rsid w:val="009F0840"/>
    <w:rsid w:val="009F31F8"/>
    <w:rsid w:val="009F4DC5"/>
    <w:rsid w:val="009F5232"/>
    <w:rsid w:val="009F735D"/>
    <w:rsid w:val="009F7A31"/>
    <w:rsid w:val="00A00069"/>
    <w:rsid w:val="00A00558"/>
    <w:rsid w:val="00A00671"/>
    <w:rsid w:val="00A0154B"/>
    <w:rsid w:val="00A0171B"/>
    <w:rsid w:val="00A02A49"/>
    <w:rsid w:val="00A02AD7"/>
    <w:rsid w:val="00A04711"/>
    <w:rsid w:val="00A04A55"/>
    <w:rsid w:val="00A04BF4"/>
    <w:rsid w:val="00A05FAE"/>
    <w:rsid w:val="00A077BF"/>
    <w:rsid w:val="00A11BEA"/>
    <w:rsid w:val="00A11E92"/>
    <w:rsid w:val="00A14315"/>
    <w:rsid w:val="00A14E0C"/>
    <w:rsid w:val="00A16FDF"/>
    <w:rsid w:val="00A17A05"/>
    <w:rsid w:val="00A215A7"/>
    <w:rsid w:val="00A21D31"/>
    <w:rsid w:val="00A23AB6"/>
    <w:rsid w:val="00A23B76"/>
    <w:rsid w:val="00A26DE4"/>
    <w:rsid w:val="00A27B53"/>
    <w:rsid w:val="00A31081"/>
    <w:rsid w:val="00A319B8"/>
    <w:rsid w:val="00A31A69"/>
    <w:rsid w:val="00A46298"/>
    <w:rsid w:val="00A5225D"/>
    <w:rsid w:val="00A531DF"/>
    <w:rsid w:val="00A53269"/>
    <w:rsid w:val="00A536E9"/>
    <w:rsid w:val="00A57B13"/>
    <w:rsid w:val="00A62BB4"/>
    <w:rsid w:val="00A6357A"/>
    <w:rsid w:val="00A65AFD"/>
    <w:rsid w:val="00A65E6D"/>
    <w:rsid w:val="00A662D2"/>
    <w:rsid w:val="00A71341"/>
    <w:rsid w:val="00A71989"/>
    <w:rsid w:val="00A72857"/>
    <w:rsid w:val="00A72E53"/>
    <w:rsid w:val="00A839E5"/>
    <w:rsid w:val="00A83D4F"/>
    <w:rsid w:val="00A84094"/>
    <w:rsid w:val="00A928CF"/>
    <w:rsid w:val="00A92C4E"/>
    <w:rsid w:val="00A937F5"/>
    <w:rsid w:val="00A93A54"/>
    <w:rsid w:val="00A9433D"/>
    <w:rsid w:val="00A949F0"/>
    <w:rsid w:val="00A95D3E"/>
    <w:rsid w:val="00AA1F6E"/>
    <w:rsid w:val="00AA3584"/>
    <w:rsid w:val="00AA6834"/>
    <w:rsid w:val="00AA6DE7"/>
    <w:rsid w:val="00AA748B"/>
    <w:rsid w:val="00AA7A47"/>
    <w:rsid w:val="00AB6003"/>
    <w:rsid w:val="00AB6A60"/>
    <w:rsid w:val="00AC27D4"/>
    <w:rsid w:val="00AC72F0"/>
    <w:rsid w:val="00AD3AB6"/>
    <w:rsid w:val="00AD4A8E"/>
    <w:rsid w:val="00AE331C"/>
    <w:rsid w:val="00AE5238"/>
    <w:rsid w:val="00AE67B0"/>
    <w:rsid w:val="00AF21A0"/>
    <w:rsid w:val="00AF269C"/>
    <w:rsid w:val="00AF2DAF"/>
    <w:rsid w:val="00AF473C"/>
    <w:rsid w:val="00AF7CB4"/>
    <w:rsid w:val="00B01136"/>
    <w:rsid w:val="00B017FA"/>
    <w:rsid w:val="00B025FB"/>
    <w:rsid w:val="00B026F8"/>
    <w:rsid w:val="00B04BF8"/>
    <w:rsid w:val="00B12621"/>
    <w:rsid w:val="00B132B0"/>
    <w:rsid w:val="00B2493E"/>
    <w:rsid w:val="00B24A3F"/>
    <w:rsid w:val="00B2549F"/>
    <w:rsid w:val="00B26739"/>
    <w:rsid w:val="00B26F5F"/>
    <w:rsid w:val="00B312D7"/>
    <w:rsid w:val="00B3583F"/>
    <w:rsid w:val="00B35A3F"/>
    <w:rsid w:val="00B36775"/>
    <w:rsid w:val="00B37CEB"/>
    <w:rsid w:val="00B40FE0"/>
    <w:rsid w:val="00B40FE6"/>
    <w:rsid w:val="00B4318B"/>
    <w:rsid w:val="00B43857"/>
    <w:rsid w:val="00B43CE0"/>
    <w:rsid w:val="00B448F9"/>
    <w:rsid w:val="00B44FAF"/>
    <w:rsid w:val="00B475A0"/>
    <w:rsid w:val="00B479F3"/>
    <w:rsid w:val="00B47EC5"/>
    <w:rsid w:val="00B50B5D"/>
    <w:rsid w:val="00B51968"/>
    <w:rsid w:val="00B533FC"/>
    <w:rsid w:val="00B5420A"/>
    <w:rsid w:val="00B5574F"/>
    <w:rsid w:val="00B5677A"/>
    <w:rsid w:val="00B60663"/>
    <w:rsid w:val="00B63373"/>
    <w:rsid w:val="00B64296"/>
    <w:rsid w:val="00B67037"/>
    <w:rsid w:val="00B6733F"/>
    <w:rsid w:val="00B734D4"/>
    <w:rsid w:val="00B76208"/>
    <w:rsid w:val="00B77CBE"/>
    <w:rsid w:val="00B77F40"/>
    <w:rsid w:val="00B80BA1"/>
    <w:rsid w:val="00B81A6A"/>
    <w:rsid w:val="00B82DB0"/>
    <w:rsid w:val="00B83A04"/>
    <w:rsid w:val="00B87F04"/>
    <w:rsid w:val="00B902CB"/>
    <w:rsid w:val="00B9041B"/>
    <w:rsid w:val="00B92262"/>
    <w:rsid w:val="00B9243A"/>
    <w:rsid w:val="00B9244E"/>
    <w:rsid w:val="00B94A9E"/>
    <w:rsid w:val="00B9630B"/>
    <w:rsid w:val="00BA128F"/>
    <w:rsid w:val="00BA4BBF"/>
    <w:rsid w:val="00BA578E"/>
    <w:rsid w:val="00BA75D7"/>
    <w:rsid w:val="00BB004F"/>
    <w:rsid w:val="00BB19D4"/>
    <w:rsid w:val="00BB3887"/>
    <w:rsid w:val="00BB4E33"/>
    <w:rsid w:val="00BB5417"/>
    <w:rsid w:val="00BB5897"/>
    <w:rsid w:val="00BB58D8"/>
    <w:rsid w:val="00BB7FFB"/>
    <w:rsid w:val="00BC01AF"/>
    <w:rsid w:val="00BC09CE"/>
    <w:rsid w:val="00BC4584"/>
    <w:rsid w:val="00BC4DA3"/>
    <w:rsid w:val="00BC51CF"/>
    <w:rsid w:val="00BC581E"/>
    <w:rsid w:val="00BC5A6D"/>
    <w:rsid w:val="00BC650F"/>
    <w:rsid w:val="00BD3050"/>
    <w:rsid w:val="00BD3213"/>
    <w:rsid w:val="00BD330D"/>
    <w:rsid w:val="00BD359D"/>
    <w:rsid w:val="00BD706D"/>
    <w:rsid w:val="00BD7909"/>
    <w:rsid w:val="00BE0A1F"/>
    <w:rsid w:val="00BE17C9"/>
    <w:rsid w:val="00BE2307"/>
    <w:rsid w:val="00BE490D"/>
    <w:rsid w:val="00BE4B3F"/>
    <w:rsid w:val="00BF1C47"/>
    <w:rsid w:val="00BF283F"/>
    <w:rsid w:val="00BF36BA"/>
    <w:rsid w:val="00BF416E"/>
    <w:rsid w:val="00BF6A33"/>
    <w:rsid w:val="00BF6D1C"/>
    <w:rsid w:val="00C00C4B"/>
    <w:rsid w:val="00C0383F"/>
    <w:rsid w:val="00C061EA"/>
    <w:rsid w:val="00C06694"/>
    <w:rsid w:val="00C06D85"/>
    <w:rsid w:val="00C07736"/>
    <w:rsid w:val="00C07A0B"/>
    <w:rsid w:val="00C1228F"/>
    <w:rsid w:val="00C1269B"/>
    <w:rsid w:val="00C135B8"/>
    <w:rsid w:val="00C14295"/>
    <w:rsid w:val="00C15648"/>
    <w:rsid w:val="00C17ABD"/>
    <w:rsid w:val="00C207C1"/>
    <w:rsid w:val="00C20A88"/>
    <w:rsid w:val="00C20EA6"/>
    <w:rsid w:val="00C22A4D"/>
    <w:rsid w:val="00C2442B"/>
    <w:rsid w:val="00C2564E"/>
    <w:rsid w:val="00C25BB1"/>
    <w:rsid w:val="00C26E01"/>
    <w:rsid w:val="00C3059D"/>
    <w:rsid w:val="00C31066"/>
    <w:rsid w:val="00C32F28"/>
    <w:rsid w:val="00C34768"/>
    <w:rsid w:val="00C36982"/>
    <w:rsid w:val="00C4016E"/>
    <w:rsid w:val="00C404A0"/>
    <w:rsid w:val="00C449E2"/>
    <w:rsid w:val="00C47057"/>
    <w:rsid w:val="00C54F37"/>
    <w:rsid w:val="00C55894"/>
    <w:rsid w:val="00C63F96"/>
    <w:rsid w:val="00C641F0"/>
    <w:rsid w:val="00C6457D"/>
    <w:rsid w:val="00C650E0"/>
    <w:rsid w:val="00C66720"/>
    <w:rsid w:val="00C70CC9"/>
    <w:rsid w:val="00C713B9"/>
    <w:rsid w:val="00C71C6C"/>
    <w:rsid w:val="00C71F7C"/>
    <w:rsid w:val="00C722EF"/>
    <w:rsid w:val="00C73536"/>
    <w:rsid w:val="00C7371C"/>
    <w:rsid w:val="00C74B6B"/>
    <w:rsid w:val="00C75736"/>
    <w:rsid w:val="00C76C91"/>
    <w:rsid w:val="00C77003"/>
    <w:rsid w:val="00C772F2"/>
    <w:rsid w:val="00C773CB"/>
    <w:rsid w:val="00C8137E"/>
    <w:rsid w:val="00C837E8"/>
    <w:rsid w:val="00C84658"/>
    <w:rsid w:val="00C87467"/>
    <w:rsid w:val="00C906DA"/>
    <w:rsid w:val="00C9232E"/>
    <w:rsid w:val="00C926DA"/>
    <w:rsid w:val="00C928C5"/>
    <w:rsid w:val="00C92C75"/>
    <w:rsid w:val="00C93CC8"/>
    <w:rsid w:val="00C94530"/>
    <w:rsid w:val="00C945E0"/>
    <w:rsid w:val="00C951A6"/>
    <w:rsid w:val="00CA0C50"/>
    <w:rsid w:val="00CA22AF"/>
    <w:rsid w:val="00CA2F54"/>
    <w:rsid w:val="00CA3737"/>
    <w:rsid w:val="00CA4413"/>
    <w:rsid w:val="00CA547C"/>
    <w:rsid w:val="00CA7162"/>
    <w:rsid w:val="00CA79D8"/>
    <w:rsid w:val="00CB591A"/>
    <w:rsid w:val="00CB6288"/>
    <w:rsid w:val="00CB71EF"/>
    <w:rsid w:val="00CC0104"/>
    <w:rsid w:val="00CC18AF"/>
    <w:rsid w:val="00CC478A"/>
    <w:rsid w:val="00CC644F"/>
    <w:rsid w:val="00CD0730"/>
    <w:rsid w:val="00CD29E1"/>
    <w:rsid w:val="00CD39FE"/>
    <w:rsid w:val="00CD3C8F"/>
    <w:rsid w:val="00CD3F9F"/>
    <w:rsid w:val="00CD5269"/>
    <w:rsid w:val="00CD55A4"/>
    <w:rsid w:val="00CD5D60"/>
    <w:rsid w:val="00CE216F"/>
    <w:rsid w:val="00CE2BF0"/>
    <w:rsid w:val="00CE2DBE"/>
    <w:rsid w:val="00CE59C4"/>
    <w:rsid w:val="00CE67B3"/>
    <w:rsid w:val="00CE7D07"/>
    <w:rsid w:val="00CF0EB8"/>
    <w:rsid w:val="00CF243A"/>
    <w:rsid w:val="00CF6D10"/>
    <w:rsid w:val="00D0206E"/>
    <w:rsid w:val="00D024D9"/>
    <w:rsid w:val="00D03CC3"/>
    <w:rsid w:val="00D04FEC"/>
    <w:rsid w:val="00D055BF"/>
    <w:rsid w:val="00D06239"/>
    <w:rsid w:val="00D06BA8"/>
    <w:rsid w:val="00D06BD4"/>
    <w:rsid w:val="00D07134"/>
    <w:rsid w:val="00D10B18"/>
    <w:rsid w:val="00D115DD"/>
    <w:rsid w:val="00D120D9"/>
    <w:rsid w:val="00D12BD0"/>
    <w:rsid w:val="00D132D7"/>
    <w:rsid w:val="00D14A8D"/>
    <w:rsid w:val="00D203EE"/>
    <w:rsid w:val="00D21BC7"/>
    <w:rsid w:val="00D21C7C"/>
    <w:rsid w:val="00D22227"/>
    <w:rsid w:val="00D24940"/>
    <w:rsid w:val="00D26FC4"/>
    <w:rsid w:val="00D33481"/>
    <w:rsid w:val="00D34AE3"/>
    <w:rsid w:val="00D40BAE"/>
    <w:rsid w:val="00D40C51"/>
    <w:rsid w:val="00D41744"/>
    <w:rsid w:val="00D45BA9"/>
    <w:rsid w:val="00D46785"/>
    <w:rsid w:val="00D56335"/>
    <w:rsid w:val="00D56E1F"/>
    <w:rsid w:val="00D57FFD"/>
    <w:rsid w:val="00D60279"/>
    <w:rsid w:val="00D63FDC"/>
    <w:rsid w:val="00D64456"/>
    <w:rsid w:val="00D66A97"/>
    <w:rsid w:val="00D71516"/>
    <w:rsid w:val="00D749D0"/>
    <w:rsid w:val="00D76A9A"/>
    <w:rsid w:val="00D778E0"/>
    <w:rsid w:val="00D81740"/>
    <w:rsid w:val="00D81C59"/>
    <w:rsid w:val="00D820DE"/>
    <w:rsid w:val="00D84261"/>
    <w:rsid w:val="00D84E26"/>
    <w:rsid w:val="00D84FC6"/>
    <w:rsid w:val="00D857E0"/>
    <w:rsid w:val="00D87291"/>
    <w:rsid w:val="00D91B64"/>
    <w:rsid w:val="00D92B45"/>
    <w:rsid w:val="00D93ACC"/>
    <w:rsid w:val="00D942A8"/>
    <w:rsid w:val="00D94436"/>
    <w:rsid w:val="00D96B9C"/>
    <w:rsid w:val="00D97467"/>
    <w:rsid w:val="00DA1FC1"/>
    <w:rsid w:val="00DA5A22"/>
    <w:rsid w:val="00DA5AE9"/>
    <w:rsid w:val="00DB22A8"/>
    <w:rsid w:val="00DB3C05"/>
    <w:rsid w:val="00DB3F37"/>
    <w:rsid w:val="00DB5054"/>
    <w:rsid w:val="00DB749F"/>
    <w:rsid w:val="00DC1487"/>
    <w:rsid w:val="00DC4856"/>
    <w:rsid w:val="00DD16BA"/>
    <w:rsid w:val="00DD28B6"/>
    <w:rsid w:val="00DD294D"/>
    <w:rsid w:val="00DD53A8"/>
    <w:rsid w:val="00DD5A22"/>
    <w:rsid w:val="00DD5CAC"/>
    <w:rsid w:val="00DE0838"/>
    <w:rsid w:val="00DE2182"/>
    <w:rsid w:val="00DE3117"/>
    <w:rsid w:val="00DE3CA6"/>
    <w:rsid w:val="00DE4669"/>
    <w:rsid w:val="00DE6E10"/>
    <w:rsid w:val="00DF0237"/>
    <w:rsid w:val="00DF1F97"/>
    <w:rsid w:val="00DF2370"/>
    <w:rsid w:val="00DF4811"/>
    <w:rsid w:val="00DF4F9D"/>
    <w:rsid w:val="00DF52C9"/>
    <w:rsid w:val="00DF762F"/>
    <w:rsid w:val="00DF794B"/>
    <w:rsid w:val="00DF7A0D"/>
    <w:rsid w:val="00DF7DFF"/>
    <w:rsid w:val="00E06F31"/>
    <w:rsid w:val="00E07103"/>
    <w:rsid w:val="00E073D5"/>
    <w:rsid w:val="00E17703"/>
    <w:rsid w:val="00E17E48"/>
    <w:rsid w:val="00E224B9"/>
    <w:rsid w:val="00E234C7"/>
    <w:rsid w:val="00E23669"/>
    <w:rsid w:val="00E23C02"/>
    <w:rsid w:val="00E24839"/>
    <w:rsid w:val="00E25504"/>
    <w:rsid w:val="00E25780"/>
    <w:rsid w:val="00E27199"/>
    <w:rsid w:val="00E3018E"/>
    <w:rsid w:val="00E30ACF"/>
    <w:rsid w:val="00E30B66"/>
    <w:rsid w:val="00E33BDB"/>
    <w:rsid w:val="00E352C0"/>
    <w:rsid w:val="00E35892"/>
    <w:rsid w:val="00E4004E"/>
    <w:rsid w:val="00E403F0"/>
    <w:rsid w:val="00E40B9C"/>
    <w:rsid w:val="00E42149"/>
    <w:rsid w:val="00E4392E"/>
    <w:rsid w:val="00E44BB7"/>
    <w:rsid w:val="00E453E2"/>
    <w:rsid w:val="00E45EF9"/>
    <w:rsid w:val="00E47B3E"/>
    <w:rsid w:val="00E525A5"/>
    <w:rsid w:val="00E5394C"/>
    <w:rsid w:val="00E53C1B"/>
    <w:rsid w:val="00E54340"/>
    <w:rsid w:val="00E55C3C"/>
    <w:rsid w:val="00E56D41"/>
    <w:rsid w:val="00E57D92"/>
    <w:rsid w:val="00E60A67"/>
    <w:rsid w:val="00E62D76"/>
    <w:rsid w:val="00E63833"/>
    <w:rsid w:val="00E6384C"/>
    <w:rsid w:val="00E65487"/>
    <w:rsid w:val="00E65C4E"/>
    <w:rsid w:val="00E65E46"/>
    <w:rsid w:val="00E6675E"/>
    <w:rsid w:val="00E70CC2"/>
    <w:rsid w:val="00E7128D"/>
    <w:rsid w:val="00E77669"/>
    <w:rsid w:val="00E815FE"/>
    <w:rsid w:val="00E81DFB"/>
    <w:rsid w:val="00E8325A"/>
    <w:rsid w:val="00E83894"/>
    <w:rsid w:val="00E8572A"/>
    <w:rsid w:val="00E90E70"/>
    <w:rsid w:val="00E91307"/>
    <w:rsid w:val="00E944EA"/>
    <w:rsid w:val="00E95F48"/>
    <w:rsid w:val="00E963FB"/>
    <w:rsid w:val="00E9657A"/>
    <w:rsid w:val="00EA0DDC"/>
    <w:rsid w:val="00EA274C"/>
    <w:rsid w:val="00EA3760"/>
    <w:rsid w:val="00EA71FB"/>
    <w:rsid w:val="00EA7A7F"/>
    <w:rsid w:val="00EB06F1"/>
    <w:rsid w:val="00EB1729"/>
    <w:rsid w:val="00EB32F1"/>
    <w:rsid w:val="00EB5C63"/>
    <w:rsid w:val="00EB6795"/>
    <w:rsid w:val="00EC2B12"/>
    <w:rsid w:val="00EC39EC"/>
    <w:rsid w:val="00EC53AC"/>
    <w:rsid w:val="00EC71E2"/>
    <w:rsid w:val="00ED52F4"/>
    <w:rsid w:val="00ED7351"/>
    <w:rsid w:val="00EE03ED"/>
    <w:rsid w:val="00EE0ADE"/>
    <w:rsid w:val="00EE2565"/>
    <w:rsid w:val="00EE27A5"/>
    <w:rsid w:val="00EE3036"/>
    <w:rsid w:val="00EE3188"/>
    <w:rsid w:val="00EE377F"/>
    <w:rsid w:val="00EE39B2"/>
    <w:rsid w:val="00EE7084"/>
    <w:rsid w:val="00EF2656"/>
    <w:rsid w:val="00EF61CB"/>
    <w:rsid w:val="00F005A7"/>
    <w:rsid w:val="00F00829"/>
    <w:rsid w:val="00F0229E"/>
    <w:rsid w:val="00F0395F"/>
    <w:rsid w:val="00F05B94"/>
    <w:rsid w:val="00F05B95"/>
    <w:rsid w:val="00F05D88"/>
    <w:rsid w:val="00F07386"/>
    <w:rsid w:val="00F077F4"/>
    <w:rsid w:val="00F07F0A"/>
    <w:rsid w:val="00F10653"/>
    <w:rsid w:val="00F10B86"/>
    <w:rsid w:val="00F1114E"/>
    <w:rsid w:val="00F12C14"/>
    <w:rsid w:val="00F14E84"/>
    <w:rsid w:val="00F16494"/>
    <w:rsid w:val="00F1695F"/>
    <w:rsid w:val="00F20C03"/>
    <w:rsid w:val="00F21ECD"/>
    <w:rsid w:val="00F229B9"/>
    <w:rsid w:val="00F235FE"/>
    <w:rsid w:val="00F241E5"/>
    <w:rsid w:val="00F250DA"/>
    <w:rsid w:val="00F30162"/>
    <w:rsid w:val="00F301A6"/>
    <w:rsid w:val="00F304B9"/>
    <w:rsid w:val="00F3148B"/>
    <w:rsid w:val="00F32047"/>
    <w:rsid w:val="00F32DFA"/>
    <w:rsid w:val="00F33B70"/>
    <w:rsid w:val="00F3464A"/>
    <w:rsid w:val="00F36261"/>
    <w:rsid w:val="00F40704"/>
    <w:rsid w:val="00F41CCC"/>
    <w:rsid w:val="00F4200C"/>
    <w:rsid w:val="00F42397"/>
    <w:rsid w:val="00F44BB6"/>
    <w:rsid w:val="00F46C41"/>
    <w:rsid w:val="00F53CC7"/>
    <w:rsid w:val="00F546C7"/>
    <w:rsid w:val="00F54B30"/>
    <w:rsid w:val="00F6177A"/>
    <w:rsid w:val="00F62D8C"/>
    <w:rsid w:val="00F63255"/>
    <w:rsid w:val="00F63C3D"/>
    <w:rsid w:val="00F668D3"/>
    <w:rsid w:val="00F70B06"/>
    <w:rsid w:val="00F73D0A"/>
    <w:rsid w:val="00F75F08"/>
    <w:rsid w:val="00F76606"/>
    <w:rsid w:val="00F77300"/>
    <w:rsid w:val="00F817BF"/>
    <w:rsid w:val="00F82445"/>
    <w:rsid w:val="00F82EAD"/>
    <w:rsid w:val="00F8408E"/>
    <w:rsid w:val="00F85DA0"/>
    <w:rsid w:val="00F861D7"/>
    <w:rsid w:val="00F90FDA"/>
    <w:rsid w:val="00F92C8B"/>
    <w:rsid w:val="00F92FEB"/>
    <w:rsid w:val="00F93FB1"/>
    <w:rsid w:val="00F96824"/>
    <w:rsid w:val="00FA1595"/>
    <w:rsid w:val="00FA31EC"/>
    <w:rsid w:val="00FA5322"/>
    <w:rsid w:val="00FA555E"/>
    <w:rsid w:val="00FA7040"/>
    <w:rsid w:val="00FB152F"/>
    <w:rsid w:val="00FB1FC5"/>
    <w:rsid w:val="00FB3ABB"/>
    <w:rsid w:val="00FB4EED"/>
    <w:rsid w:val="00FB6630"/>
    <w:rsid w:val="00FB75B7"/>
    <w:rsid w:val="00FB7AA8"/>
    <w:rsid w:val="00FC0F56"/>
    <w:rsid w:val="00FC1A40"/>
    <w:rsid w:val="00FC23F7"/>
    <w:rsid w:val="00FC4186"/>
    <w:rsid w:val="00FC4CA2"/>
    <w:rsid w:val="00FC5288"/>
    <w:rsid w:val="00FD014C"/>
    <w:rsid w:val="00FD0A09"/>
    <w:rsid w:val="00FD3FC0"/>
    <w:rsid w:val="00FD406D"/>
    <w:rsid w:val="00FD426B"/>
    <w:rsid w:val="00FD59B8"/>
    <w:rsid w:val="00FD5E46"/>
    <w:rsid w:val="00FD64F7"/>
    <w:rsid w:val="00FD729D"/>
    <w:rsid w:val="00FE02C1"/>
    <w:rsid w:val="00FE13B8"/>
    <w:rsid w:val="00FE1EC2"/>
    <w:rsid w:val="00FE2386"/>
    <w:rsid w:val="00FE4AB3"/>
    <w:rsid w:val="00FF1C17"/>
    <w:rsid w:val="00FF378C"/>
    <w:rsid w:val="00FF3905"/>
    <w:rsid w:val="00FF4E3C"/>
    <w:rsid w:val="00FF5B46"/>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styleId="UnresolvedMention">
    <w:name w:val="Unresolved Mention"/>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sni.org/magazines/proceedings/2017/september/build-all-uav-carriers" TargetMode="External"/><Relationship Id="rId21" Type="http://schemas.openxmlformats.org/officeDocument/2006/relationships/hyperlink" Target="https://arc.aiaa.org/doi/abs/10.2514/1.47363" TargetMode="External"/><Relationship Id="rId42" Type="http://schemas.openxmlformats.org/officeDocument/2006/relationships/hyperlink" Target="https://www.nsa.gov/Portals/70/documents/resources/everyone/csfc/csfc-faqs.pdf" TargetMode="External"/><Relationship Id="rId63" Type="http://schemas.openxmlformats.org/officeDocument/2006/relationships/hyperlink" Target="https://onlinelibrary.wiley.com/doi/pdf/10.1111/j.1467-8640.1992.tb00380.x" TargetMode="External"/><Relationship Id="rId84" Type="http://schemas.openxmlformats.org/officeDocument/2006/relationships/hyperlink" Target="https://link.springer.com/article/10.1007/s11340-008-9148-y" TargetMode="External"/><Relationship Id="rId138" Type="http://schemas.openxmlformats.org/officeDocument/2006/relationships/hyperlink" Target="https://www.esd.whs.mil/Portals/54/Documents/DD/issuances/dodi/850001_2014.pdf" TargetMode="External"/><Relationship Id="rId159" Type="http://schemas.openxmlformats.org/officeDocument/2006/relationships/hyperlink" Target="https://arxiv.org/pdf/1801.06637.pdf" TargetMode="External"/><Relationship Id="rId170" Type="http://schemas.openxmlformats.org/officeDocument/2006/relationships/hyperlink" Target="https://www.epa.gov/dwreginfo/drinking-water-regulations" TargetMode="External"/><Relationship Id="rId191" Type="http://schemas.openxmlformats.org/officeDocument/2006/relationships/hyperlink" Target="http://www.extremephysiolmed.com/content/2/1/17s" TargetMode="External"/><Relationship Id="rId205" Type="http://schemas.openxmlformats.org/officeDocument/2006/relationships/hyperlink" Target="https://arc.aiaa.org/doi/full/10.2514/1.I010372" TargetMode="External"/><Relationship Id="rId107" Type="http://schemas.openxmlformats.org/officeDocument/2006/relationships/hyperlink" Target="https://dodcio.defense.gov/Portals/0/Documents/FOSS/2009OSS.pdf" TargetMode="External"/><Relationship Id="rId11" Type="http://schemas.openxmlformats.org/officeDocument/2006/relationships/hyperlink" Target="mailto:dodsbirsupport@reisystems.com" TargetMode="External"/><Relationship Id="rId32" Type="http://schemas.openxmlformats.org/officeDocument/2006/relationships/hyperlink" Target="https://www.amazon.com/Artificial-Intelligence-Modern-Approach-3rd/dp/0136042597" TargetMode="External"/><Relationship Id="rId53" Type="http://schemas.openxmlformats.org/officeDocument/2006/relationships/hyperlink" Target="http://everyspec.com/MIL-STD/MIL-STD-0800-0899/MIL-STD-810H_55998/" TargetMode="External"/><Relationship Id="rId74" Type="http://schemas.openxmlformats.org/officeDocument/2006/relationships/hyperlink" Target="http://www-ai.cs.tu-dortmund.de/schulte_2013a.pdf?self=%24dv5v9puha8&amp;part=data" TargetMode="External"/><Relationship Id="rId128" Type="http://schemas.openxmlformats.org/officeDocument/2006/relationships/hyperlink" Target="https://search.informit.com.au/documentSummary,dn=435184434741982,res=IELBUS,type=pdf" TargetMode="External"/><Relationship Id="rId149" Type="http://schemas.openxmlformats.org/officeDocument/2006/relationships/hyperlink" Target="https://www.ncbi.nlm.nih.gov/pmc/articles/PMC2973916/" TargetMode="External"/><Relationship Id="rId5" Type="http://schemas.openxmlformats.org/officeDocument/2006/relationships/numbering" Target="numbering.xml"/><Relationship Id="rId95" Type="http://schemas.openxmlformats.org/officeDocument/2006/relationships/hyperlink" Target="https://www.e-education.psu.edu/geog892/node/5" TargetMode="External"/><Relationship Id="rId160" Type="http://schemas.openxmlformats.org/officeDocument/2006/relationships/hyperlink" Target="https://dod.defense.gov/Portals/1/Documents/pubs/2018-National-Defense-Strategy-Summary.pdf" TargetMode="External"/><Relationship Id="rId181" Type="http://schemas.openxmlformats.org/officeDocument/2006/relationships/hyperlink" Target="http://everyspec.com/MIL-SPECS/MIL-SPECS-MIL-DTL/MIL-DTL-32264_54467" TargetMode="External"/><Relationship Id="rId216" Type="http://schemas.openxmlformats.org/officeDocument/2006/relationships/hyperlink" Target="https://www.sciencedirect.com/science/article/abs/pii/0020722578900757" TargetMode="External"/><Relationship Id="rId22" Type="http://schemas.openxmlformats.org/officeDocument/2006/relationships/hyperlink" Target="https://arc.aiaa.org/doi/abs/10.2514/1.C032169" TargetMode="External"/><Relationship Id="rId43" Type="http://schemas.openxmlformats.org/officeDocument/2006/relationships/hyperlink" Target="http://everyspec.com/MIL-STD/MIL-STD-0800-0899/MIL-STD-810H_55998/" TargetMode="External"/><Relationship Id="rId64" Type="http://schemas.openxmlformats.org/officeDocument/2006/relationships/hyperlink" Target="http://iswc2007.semanticweb.org/papers/617.pdf" TargetMode="External"/><Relationship Id="rId118" Type="http://schemas.openxmlformats.org/officeDocument/2006/relationships/hyperlink" Target="https://www.defenseindustrydaily.com/emals-electro-magnetic-launch-for-carriers-05220/" TargetMode="External"/><Relationship Id="rId139" Type="http://schemas.openxmlformats.org/officeDocument/2006/relationships/hyperlink" Target="https://www.wsmr.army.mil/RCCsite/Documents/319-19_FTS_Commonality/319-19_FTS_Commonality.pdf" TargetMode="External"/><Relationship Id="rId85" Type="http://schemas.openxmlformats.org/officeDocument/2006/relationships/hyperlink" Target="https://www.sciencedirect.com/science/article/pii/S0045782514001558" TargetMode="External"/><Relationship Id="rId150" Type="http://schemas.openxmlformats.org/officeDocument/2006/relationships/hyperlink" Target="https://par.nsf.gov/servlets/purl/10026127" TargetMode="External"/><Relationship Id="rId171" Type="http://schemas.openxmlformats.org/officeDocument/2006/relationships/hyperlink" Target="HTTP://www..com/wp-content/uploads/2010/12/Digital-Channelizing-Radio-Frequency-Receiver.pdf" TargetMode="External"/><Relationship Id="rId192" Type="http://schemas.openxmlformats.org/officeDocument/2006/relationships/hyperlink" Target="https://iopscience.iop.org/article/10.1088/0022-3727/39/18/018/meta" TargetMode="External"/><Relationship Id="rId206" Type="http://schemas.openxmlformats.org/officeDocument/2006/relationships/hyperlink" Target="https://arc.aiaa.org/doi/full/10.2514/1.A32949" TargetMode="External"/><Relationship Id="rId12" Type="http://schemas.openxmlformats.org/officeDocument/2006/relationships/hyperlink" Target="http://www.navysbir.com" TargetMode="External"/><Relationship Id="rId33" Type="http://schemas.openxmlformats.org/officeDocument/2006/relationships/hyperlink" Target="https://books.google.com/books/about/Pattern_Classification.html?id=Br33IRC3PkQC" TargetMode="External"/><Relationship Id="rId108" Type="http://schemas.openxmlformats.org/officeDocument/2006/relationships/hyperlink" Target="https://www.doncio.navy.mil/FileHandler.ashx?id=261" TargetMode="External"/><Relationship Id="rId129" Type="http://schemas.openxmlformats.org/officeDocument/2006/relationships/hyperlink" Target="https://eric.ed.gov/?id=EJ1140175" TargetMode="External"/><Relationship Id="rId54" Type="http://schemas.openxmlformats.org/officeDocument/2006/relationships/hyperlink" Target="http://everyspec.com/MIL-STD/MIL-STD-0300-0499/MIL-STD-461G_53571/" TargetMode="External"/><Relationship Id="rId75" Type="http://schemas.openxmlformats.org/officeDocument/2006/relationships/hyperlink" Target="https://www.researchgate.net/publication/261727128_ADVANCED_BROADBAND_LINKS_FOR_TIER_III_UAV_DATA_COMMUNICATION" TargetMode="External"/><Relationship Id="rId96" Type="http://schemas.openxmlformats.org/officeDocument/2006/relationships/hyperlink" Target="http://everyspec.com/MIL-STD/MIL-STD-0800-0899/MIL-STD-810H_55998/" TargetMode="External"/><Relationship Id="rId140" Type="http://schemas.openxmlformats.org/officeDocument/2006/relationships/hyperlink" Target="http://everyspec.com/MIL-STD/MIL-STD-10000-and-Up/MIL-STD-31000B_55788/" TargetMode="External"/><Relationship Id="rId161" Type="http://schemas.openxmlformats.org/officeDocument/2006/relationships/hyperlink" Target="https://epubs.siam.org/doi/abs/10.1137/15M1023543?mobileUi=0&amp;" TargetMode="External"/><Relationship Id="rId182" Type="http://schemas.openxmlformats.org/officeDocument/2006/relationships/hyperlink" Target="https://news.usni/2018/11/21/navy-developing-prompt-global-strike-weapon-launch-sub-surface-ship" TargetMode="External"/><Relationship Id="rId217" Type="http://schemas.openxmlformats.org/officeDocument/2006/relationships/hyperlink" Target="https://www.researchgate.net/publication/220004058_Stability_of_a_deployingextruding_beam_in_dense_fluid" TargetMode="External"/><Relationship Id="rId6" Type="http://schemas.openxmlformats.org/officeDocument/2006/relationships/styles" Target="styles.xml"/><Relationship Id="rId23" Type="http://schemas.openxmlformats.org/officeDocument/2006/relationships/hyperlink" Target="https://www.ncbi.nlm.nih.gov/pubmed/17495709" TargetMode="External"/><Relationship Id="rId119" Type="http://schemas.openxmlformats.org/officeDocument/2006/relationships/hyperlink" Target="https://www.e-education.psu.edu/geog892/node/5" TargetMode="External"/><Relationship Id="rId44" Type="http://schemas.openxmlformats.org/officeDocument/2006/relationships/hyperlink" Target="https://infostore.saiglobal.com/en-us/Standards/ANSI-B92-1-1996-1018273_SAIG_SAE_SAE_2370136/" TargetMode="External"/><Relationship Id="rId65" Type="http://schemas.openxmlformats.org/officeDocument/2006/relationships/hyperlink" Target="https://www.nature.com/articles/s41586-018-0180-5" TargetMode="External"/><Relationship Id="rId86" Type="http://schemas.openxmlformats.org/officeDocument/2006/relationships/hyperlink" Target="https://www.sciencedirect.com/science/article/pii/S1359835X14003625" TargetMode="External"/><Relationship Id="rId130" Type="http://schemas.openxmlformats.org/officeDocument/2006/relationships/hyperlink" Target="http://jaredfreeman.com/jf_pubs/Freeman-TacticalDecisionTrainer-IITSEC-2016.pdf" TargetMode="External"/><Relationship Id="rId151" Type="http://schemas.openxmlformats.org/officeDocument/2006/relationships/hyperlink" Target="https://link.springer.com/article/10.1007/s00170-004-2210-8" TargetMode="External"/><Relationship Id="rId172" Type="http://schemas.openxmlformats.org/officeDocument/2006/relationships/hyperlink" Target="HTTPS://you.redo.nii.ac.jp/?action=repository_action_common_download&amp;item_id=3657&amp;item_no=1&amp;attribute_id=20&amp;file_no=1" TargetMode="External"/><Relationship Id="rId193" Type="http://schemas.openxmlformats.org/officeDocument/2006/relationships/hyperlink" Target="https://www.osapublishing.org/ol/abstract.cfm?uri=ol-42-3-631" TargetMode="External"/><Relationship Id="rId207" Type="http://schemas.openxmlformats.org/officeDocument/2006/relationships/hyperlink" Target="https://ieeexplore.ieee.org/document/6392482" TargetMode="External"/><Relationship Id="rId13" Type="http://schemas.openxmlformats.org/officeDocument/2006/relationships/hyperlink" Target="http://www.navy.mil" TargetMode="External"/><Relationship Id="rId109" Type="http://schemas.openxmlformats.org/officeDocument/2006/relationships/hyperlink" Target="https://dodcio.defense.gov/Open-Source-Software-FAQ" TargetMode="External"/><Relationship Id="rId34" Type="http://schemas.openxmlformats.org/officeDocument/2006/relationships/hyperlink" Target="https://mitpress.mit.edu/books/deep-learning" TargetMode="External"/><Relationship Id="rId55" Type="http://schemas.openxmlformats.org/officeDocument/2006/relationships/hyperlink" Target="https://standards.globalspec.com/std/13308207/ATP-3.3.4.2" TargetMode="External"/><Relationship Id="rId76" Type="http://schemas.openxmlformats.org/officeDocument/2006/relationships/hyperlink" Target="https://books.google.com/books/about/The_Ears_of_Air_ASW.html?id=VKP-twEACAAJ" TargetMode="External"/><Relationship Id="rId97" Type="http://schemas.openxmlformats.org/officeDocument/2006/relationships/hyperlink" Target="https://www2.deloitte.com/content/dam/Deloitte/cn/Documents/cip/deloitte-cn-cip-industry-4-0-digital-twin-technology-en-171215.pdf" TargetMode="External"/><Relationship Id="rId120" Type="http://schemas.openxmlformats.org/officeDocument/2006/relationships/hyperlink" Target="http://everyspec.com/MIL-STD/MIL-STD-0800-0899/MIL-STD-810H_55998/" TargetMode="External"/><Relationship Id="rId141" Type="http://schemas.openxmlformats.org/officeDocument/2006/relationships/hyperlink" Target="http://everyspec.com/MIL-STD/MIL-STD-1300-1399/MIL-STD-1385B_18455/" TargetMode="External"/><Relationship Id="rId7" Type="http://schemas.openxmlformats.org/officeDocument/2006/relationships/settings" Target="settings.xml"/><Relationship Id="rId162" Type="http://schemas.openxmlformats.org/officeDocument/2006/relationships/hyperlink" Target="https://apps.dtic.mil/dtic/tr/fulltext/u2/a397225.pdf" TargetMode="External"/><Relationship Id="rId183" Type="http://schemas.openxmlformats.org/officeDocument/2006/relationships/hyperlink" Target="https://www.ssp.navy.mil" TargetMode="External"/><Relationship Id="rId218" Type="http://schemas.openxmlformats.org/officeDocument/2006/relationships/hyperlink" Target="https://aip.scitation.org/doi/10.1063/1.1730909" TargetMode="External"/><Relationship Id="rId24" Type="http://schemas.openxmlformats.org/officeDocument/2006/relationships/footer" Target="footer1.xml"/><Relationship Id="rId45" Type="http://schemas.openxmlformats.org/officeDocument/2006/relationships/hyperlink" Target="https://webstore.ansi.org/Standards/ASTM/ASTME288413" TargetMode="External"/><Relationship Id="rId66" Type="http://schemas.openxmlformats.org/officeDocument/2006/relationships/hyperlink" Target="https://ieeexplore.ieee.org/document/1257420" TargetMode="External"/><Relationship Id="rId87" Type="http://schemas.openxmlformats.org/officeDocument/2006/relationships/hyperlink" Target="https://pdfs.semanticscholar.org/ceb7/bb7903524cacf2b958f646637175e62aaf13.pdf" TargetMode="External"/><Relationship Id="rId110" Type="http://schemas.openxmlformats.org/officeDocument/2006/relationships/hyperlink" Target="https://arc.aiaa.org/doi/10.2514/6.1996-2322" TargetMode="External"/><Relationship Id="rId131" Type="http://schemas.openxmlformats.org/officeDocument/2006/relationships/hyperlink" Target="https://csrc.nist.gov/projects/risk-management/risk-management-framework-(RMF)-Overview" TargetMode="External"/><Relationship Id="rId152" Type="http://schemas.openxmlformats.org/officeDocument/2006/relationships/hyperlink" Target="https://www.defensenews.com/industry/techwatch/2019/06/19/us-marines-to-test-drone-killing-laser-weapon/" TargetMode="External"/><Relationship Id="rId173" Type="http://schemas.openxmlformats.org/officeDocument/2006/relationships/hyperlink" Target="https://www.computer.org/csdl/mags/co/2015/12/mco2015120034-abs.HTML" TargetMode="External"/><Relationship Id="rId194" Type="http://schemas.openxmlformats.org/officeDocument/2006/relationships/hyperlink" Target="https://www.osapublishing.org/ol/abstract.cfm?uri=ol-36-10-1833" TargetMode="External"/><Relationship Id="rId208" Type="http://schemas.openxmlformats.org/officeDocument/2006/relationships/hyperlink" Target="https://doi.org/10.1017/jfm.2018.636" TargetMode="External"/><Relationship Id="rId14" Type="http://schemas.openxmlformats.org/officeDocument/2006/relationships/hyperlink" Target="https://www.dodsbirsttr.mil/submissions" TargetMode="External"/><Relationship Id="rId35" Type="http://schemas.openxmlformats.org/officeDocument/2006/relationships/hyperlink" Target="https://www.nitrd.gov/pubs/AI-Research-and-Development-Progress-Report-2016-2019.pdf" TargetMode="External"/><Relationship Id="rId56" Type="http://schemas.openxmlformats.org/officeDocument/2006/relationships/hyperlink" Target="https://standards.globalspec.com/std/929286/MIL-H-4495" TargetMode="External"/><Relationship Id="rId77" Type="http://schemas.openxmlformats.org/officeDocument/2006/relationships/hyperlink" Target="https://link.springer.com/book/10.1007/978-0-387-33139-3" TargetMode="External"/><Relationship Id="rId100" Type="http://schemas.openxmlformats.org/officeDocument/2006/relationships/hyperlink" Target="http://www.stern.nyu.edu/networks/Linux_vs._Windows.pdf" TargetMode="External"/><Relationship Id="rId8" Type="http://schemas.openxmlformats.org/officeDocument/2006/relationships/webSettings" Target="webSettings.xml"/><Relationship Id="rId98" Type="http://schemas.openxmlformats.org/officeDocument/2006/relationships/hyperlink" Target="https://research.fit.edu/media/site-specific/researchfitedu/camid/documents/Origin-and-Types-of-the-Digital-Twin.pdf" TargetMode="External"/><Relationship Id="rId121" Type="http://schemas.openxmlformats.org/officeDocument/2006/relationships/hyperlink" Target="https://www.militaryfactory.com/aircraft/detail.asp?aircraft_id=1755" TargetMode="External"/><Relationship Id="rId142" Type="http://schemas.openxmlformats.org/officeDocument/2006/relationships/hyperlink" Target="http://everyspec.com/MIL-STD/MIL-STD-1400-1499/MIL-STD-1472F_208/" TargetMode="External"/><Relationship Id="rId163" Type="http://schemas.openxmlformats.org/officeDocument/2006/relationships/hyperlink" Target="https://www.c4isrnet.com/c2-comms/2016/12/16/what-is-the-difference-between-adaptive-and-cognitive-electronic-warfare/" TargetMode="External"/><Relationship Id="rId184" Type="http://schemas.openxmlformats.org/officeDocument/2006/relationships/hyperlink" Target="https://www.defenseindustrydaily.com/243M-to-Draper-Laboratory-for-Trident-II-D5-Guidance-System-Support-06004/" TargetMode="External"/><Relationship Id="rId219" Type="http://schemas.openxmlformats.org/officeDocument/2006/relationships/hyperlink" Target="https://www.rand.org/content/dam/rand/pubs/research_memoranda/2008/RM4071.pdf" TargetMode="External"/><Relationship Id="rId3" Type="http://schemas.openxmlformats.org/officeDocument/2006/relationships/customXml" Target="../customXml/item3.xml"/><Relationship Id="rId214" Type="http://schemas.openxmlformats.org/officeDocument/2006/relationships/hyperlink" Target="https://doi.org/10.1016/S0734-743X(99)00117-7" TargetMode="External"/><Relationship Id="rId25" Type="http://schemas.openxmlformats.org/officeDocument/2006/relationships/hyperlink" Target="https://adsinc.com/wp-content/uploads/2018/06/LRAD_Datasheet_1000RX.pdf" TargetMode="External"/><Relationship Id="rId46" Type="http://schemas.openxmlformats.org/officeDocument/2006/relationships/hyperlink" Target="http://everyspec.com/FED_SPECS/Q/QQ-P-416F_22867/" TargetMode="External"/><Relationship Id="rId67" Type="http://schemas.openxmlformats.org/officeDocument/2006/relationships/hyperlink" Target="https://arxiv.org/abs/1601.04187" TargetMode="External"/><Relationship Id="rId116" Type="http://schemas.openxmlformats.org/officeDocument/2006/relationships/hyperlink" Target="https://arxiv.org/pdf/1901.03690.pdf" TargetMode="External"/><Relationship Id="rId137" Type="http://schemas.openxmlformats.org/officeDocument/2006/relationships/hyperlink" Target="https://dl.acm.org/doi/10.5555/1018411.1018871" TargetMode="External"/><Relationship Id="rId158" Type="http://schemas.openxmlformats.org/officeDocument/2006/relationships/hyperlink" Target="https://arxiv.org/pdf/1804.07010.pdf" TargetMode="External"/><Relationship Id="rId20" Type="http://schemas.openxmlformats.org/officeDocument/2006/relationships/hyperlink" Target="http://www.onr.navy.mil/About-ONR/compliance-protections/Research-Protections/Human-Subject-Research.aspx" TargetMode="External"/><Relationship Id="rId41" Type="http://schemas.openxmlformats.org/officeDocument/2006/relationships/hyperlink" Target="https://www.nsa.gov/Portals/70/documents/resources/everyone/csfc/capability-packages/dar-cp.pdf" TargetMode="External"/><Relationship Id="rId62" Type="http://schemas.openxmlformats.org/officeDocument/2006/relationships/hyperlink" Target="https://www.cs.umd.edu/users/ben/papers/Shneiderman2000limits.pdf" TargetMode="External"/><Relationship Id="rId83" Type="http://schemas.openxmlformats.org/officeDocument/2006/relationships/hyperlink" Target="http://everyspec.com/MIL-STD/MIL-STD-1500-1599/MIL_STD_1522A_1429/" TargetMode="External"/><Relationship Id="rId88" Type="http://schemas.openxmlformats.org/officeDocument/2006/relationships/hyperlink" Target="https://www.sciencedirect.com/science/article/abs/pii/S0264127516300132" TargetMode="External"/><Relationship Id="rId111" Type="http://schemas.openxmlformats.org/officeDocument/2006/relationships/hyperlink" Target="https://arc.aiaa.org/doi/abs/10.2514/3.5528?journalCode=aiaaj" TargetMode="External"/><Relationship Id="rId132" Type="http://schemas.openxmlformats.org/officeDocument/2006/relationships/hyperlink" Target="https://www.esd.whs.mil/Portals/54/Documents/DD/issuances/dodi/851001_2014.pdf" TargetMode="External"/><Relationship Id="rId153" Type="http://schemas.openxmlformats.org/officeDocument/2006/relationships/hyperlink" Target="https://www.telegraph.co.uk/technology/2016/01/21/tokyo-police-are-using-drones-with-nets-to-catch-other-drones/" TargetMode="External"/><Relationship Id="rId174" Type="http://schemas.openxmlformats.org/officeDocument/2006/relationships/hyperlink" Target="https://www.wiley.com/en-us/Signal+Processing+for+Cognitive+Radios-p-9781118824931" TargetMode="External"/><Relationship Id="rId179" Type="http://schemas.openxmlformats.org/officeDocument/2006/relationships/hyperlink" Target="https://towardsdatascience.com/openai-gpt-2-understanding-language-generation-through-visualization-8252f683b2f8?gi=fc3e151fc89f" TargetMode="External"/><Relationship Id="rId195" Type="http://schemas.openxmlformats.org/officeDocument/2006/relationships/hyperlink" Target="https://ieeexplore.ieee.org/document/7950902" TargetMode="External"/><Relationship Id="rId209" Type="http://schemas.openxmlformats.org/officeDocument/2006/relationships/hyperlink" Target="https://doi.org/10.1017/jfm.2012.579" TargetMode="External"/><Relationship Id="rId190" Type="http://schemas.openxmlformats.org/officeDocument/2006/relationships/hyperlink" Target="https://www.aps.org/units/dfd/pressroom/news/2015/upload/7pr-animals2015.pdf" TargetMode="External"/><Relationship Id="rId204" Type="http://schemas.openxmlformats.org/officeDocument/2006/relationships/hyperlink" Target="https://www.nasa.gov/centers/wstf/testing_and_analysis/hypervelocity_impact/index.html" TargetMode="External"/><Relationship Id="rId220" Type="http://schemas.openxmlformats.org/officeDocument/2006/relationships/hyperlink" Target="https://arc.aiaa.org/doi/abs/10.2514/3.2356?journalCode=aiaaj" TargetMode="External"/><Relationship Id="rId225" Type="http://schemas.openxmlformats.org/officeDocument/2006/relationships/theme" Target="theme/theme1.xml"/><Relationship Id="rId15" Type="http://schemas.openxmlformats.org/officeDocument/2006/relationships/hyperlink" Target="https://navysbir.com/links_forms.htm" TargetMode="External"/><Relationship Id="rId36" Type="http://schemas.openxmlformats.org/officeDocument/2006/relationships/hyperlink" Target="https://www.nitrd.gov/pubs/National-AI-RD-Strategy-2019.pdf" TargetMode="External"/><Relationship Id="rId57" Type="http://schemas.openxmlformats.org/officeDocument/2006/relationships/hyperlink" Target="https://www.cse.iitk.ac.in/users/umair/papers/cicling12.pdf" TargetMode="External"/><Relationship Id="rId106" Type="http://schemas.openxmlformats.org/officeDocument/2006/relationships/hyperlink" Target="https://nvlpubs.nist.gov/nistpubs/SpecialPublications/NIST.SP.800-190.pdf" TargetMode="External"/><Relationship Id="rId127" Type="http://schemas.openxmlformats.org/officeDocument/2006/relationships/hyperlink" Target="http://everyspec.com/MIL-STD/MIL-STD-0300-0499/MIL-STD-461G_53571/" TargetMode="External"/><Relationship Id="rId10" Type="http://schemas.openxmlformats.org/officeDocument/2006/relationships/endnotes" Target="endnotes.xml"/><Relationship Id="rId31" Type="http://schemas.openxmlformats.org/officeDocument/2006/relationships/hyperlink" Target="https://navysbir.com/n20_2/N202-090-REFERENCE-3-SAIPAN-Images.pdf" TargetMode="External"/><Relationship Id="rId52" Type="http://schemas.openxmlformats.org/officeDocument/2006/relationships/hyperlink" Target="https://apps.dtic.mil/dtic/tr/fulltext/u2/a218434.pdf" TargetMode="External"/><Relationship Id="rId73" Type="http://schemas.openxmlformats.org/officeDocument/2006/relationships/hyperlink" Target="http://www.turnasure.com/pdf/reports/26%20Fatigue%20Tests.pdf" TargetMode="External"/><Relationship Id="rId78" Type="http://schemas.openxmlformats.org/officeDocument/2006/relationships/hyperlink" Target="http://everyspec.com/MIL-STD/MIL-STD-0100-0299/MIL-STD-202H_CONSOLIDATED_18APR2015_52148/" TargetMode="External"/><Relationship Id="rId94" Type="http://schemas.openxmlformats.org/officeDocument/2006/relationships/hyperlink" Target="https://ieeexplore.ieee.org/document/5340196" TargetMode="External"/><Relationship Id="rId99" Type="http://schemas.openxmlformats.org/officeDocument/2006/relationships/hyperlink" Target="https://www.sciencedirect.com/book/9780128176306/digital-twin-driven-smart-manufacturing" TargetMode="External"/><Relationship Id="rId101" Type="http://schemas.openxmlformats.org/officeDocument/2006/relationships/hyperlink" Target="https://www.cs.ru.nl/~jhh/publications/oss-acm.pdf" TargetMode="External"/><Relationship Id="rId122" Type="http://schemas.openxmlformats.org/officeDocument/2006/relationships/hyperlink" Target="https://apps.dtic.mil/dtic/tr/fulltext/u2/a434124.pdf" TargetMode="External"/><Relationship Id="rId143" Type="http://schemas.openxmlformats.org/officeDocument/2006/relationships/hyperlink" Target="http://everyspec.com/MIL-HDBK/MIL-HDBK-1500-1799/MIL_HDBK_1512_1843/" TargetMode="External"/><Relationship Id="rId148" Type="http://schemas.openxmlformats.org/officeDocument/2006/relationships/hyperlink" Target="https://www.scholars.northwestern.edu/en/publications/room-temperature-quantum-cascade-lasers-with-27-wall-plug-efficie" TargetMode="External"/><Relationship Id="rId164" Type="http://schemas.openxmlformats.org/officeDocument/2006/relationships/hyperlink" Target="https://doi.org/10.1007/s11432-017-9288-4" TargetMode="External"/><Relationship Id="rId169" Type="http://schemas.openxmlformats.org/officeDocument/2006/relationships/hyperlink" Target="https://asu.pure.elsevier.com/en/publications/producing-drinking-water-from-hydrogen-fuel-cells" TargetMode="External"/><Relationship Id="rId185" Type="http://schemas.openxmlformats.org/officeDocument/2006/relationships/hyperlink" Target="https://www.researchgate.net/publication/262639867_A_Circular_Air-Coupled_Ultrasonic_Testing_Technique_for_the_Inspection_of_Commercial_CarbonCarbon_Composite_Aircraft_Brake_Disk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d4mucfpksywv.cloudfront.net/better-language-models/language_models_are_unsupervised_multitask_learners.pdf" TargetMode="External"/><Relationship Id="rId210" Type="http://schemas.openxmlformats.org/officeDocument/2006/relationships/hyperlink" Target="https://ieeexplore.ieee.org/document/7516629" TargetMode="External"/><Relationship Id="rId215" Type="http://schemas.openxmlformats.org/officeDocument/2006/relationships/hyperlink" Target="https://www.semanticscholar.org/paper/Mechanics-of-dynamic-penetration-into-soil-medium-Bivin-Simonov/d8a935cc3e78d8c1f6847f93d6c8080c0c079596" TargetMode="External"/><Relationship Id="rId26" Type="http://schemas.openxmlformats.org/officeDocument/2006/relationships/hyperlink" Target="http://www.navysbir.com/n20_2/N202-089-REFERENCE-2-DSLA_Lite.pdf" TargetMode="External"/><Relationship Id="rId47" Type="http://schemas.openxmlformats.org/officeDocument/2006/relationships/hyperlink" Target="https://www.fire.tc.faa.gov/pdf/07-57.pdf" TargetMode="External"/><Relationship Id="rId68" Type="http://schemas.openxmlformats.org/officeDocument/2006/relationships/hyperlink" Target="https://arxiv.org/pdf/1603.08270.pdf" TargetMode="External"/><Relationship Id="rId89" Type="http://schemas.openxmlformats.org/officeDocument/2006/relationships/hyperlink" Target="https://www.sciencedirect.com/science/article/abs/pii/S0266353811004155" TargetMode="External"/><Relationship Id="rId112" Type="http://schemas.openxmlformats.org/officeDocument/2006/relationships/hyperlink" Target="https://ieeexplore.ieee.org/document/1257420" TargetMode="External"/><Relationship Id="rId133" Type="http://schemas.openxmlformats.org/officeDocument/2006/relationships/hyperlink" Target="https://csrc.nist.gov/projects/risk-management/risk-management-framework-(RMF)-Overview" TargetMode="External"/><Relationship Id="rId154" Type="http://schemas.openxmlformats.org/officeDocument/2006/relationships/hyperlink" Target="https://www.theverge.com/2017/3/16/14944256/patriot-missile-shot-down-consumer-drone-us-military" TargetMode="External"/><Relationship Id="rId175" Type="http://schemas.openxmlformats.org/officeDocument/2006/relationships/hyperlink" Target="https://www.nature.com/articles/nphoton.2007.3" TargetMode="External"/><Relationship Id="rId196" Type="http://schemas.openxmlformats.org/officeDocument/2006/relationships/hyperlink" Target="https://www.researchgate.net/publication/221909115_Biofouling_and_its_Control_in_Seawater_Cooled_Power_Plant_Cooling_Water_System_-_A_Review" TargetMode="External"/><Relationship Id="rId200" Type="http://schemas.openxmlformats.org/officeDocument/2006/relationships/hyperlink" Target="https://ieeexplore.ieee.org/document/959753" TargetMode="External"/><Relationship Id="rId16" Type="http://schemas.openxmlformats.org/officeDocument/2006/relationships/hyperlink" Target="https://www.navysbir.com/links_forms.htm" TargetMode="External"/><Relationship Id="rId221" Type="http://schemas.openxmlformats.org/officeDocument/2006/relationships/hyperlink" Target="https://arc.aiaa.org/doi/10.2514/3.4256" TargetMode="External"/><Relationship Id="rId37" Type="http://schemas.openxmlformats.org/officeDocument/2006/relationships/hyperlink" Target="https://csrc.nist.gov/projects/risk-management/risk-management-framework-(RMF)-Overview" TargetMode="External"/><Relationship Id="rId58" Type="http://schemas.openxmlformats.org/officeDocument/2006/relationships/hyperlink" Target="http://citeseerx.ist.psu.edu/viewdoc/download?doi=10.1.1.337.8867&amp;rep=rep1&amp;type=pdf" TargetMode="External"/><Relationship Id="rId79" Type="http://schemas.openxmlformats.org/officeDocument/2006/relationships/hyperlink" Target="http://everyspec.com/MIL-STD/MIL-STD-0800-0899/MIL-STD-883K_CHG-3_55826/" TargetMode="External"/><Relationship Id="rId102" Type="http://schemas.openxmlformats.org/officeDocument/2006/relationships/hyperlink" Target="http://csrc.nist.gov/publications/nistpubs/800-123/SP800-123.pdf" TargetMode="External"/><Relationship Id="rId123" Type="http://schemas.openxmlformats.org/officeDocument/2006/relationships/hyperlink" Target="https://apps.dtic.mil/dtic/tr/fulltext/u2/a325724.pdf" TargetMode="External"/><Relationship Id="rId144" Type="http://schemas.openxmlformats.org/officeDocument/2006/relationships/hyperlink" Target="http://everyspec.com/MIL-SPECS/MIL-SPECS-MIL-I/MIL-I-23659C_31545/" TargetMode="External"/><Relationship Id="rId90" Type="http://schemas.openxmlformats.org/officeDocument/2006/relationships/hyperlink" Target="https://www.sciencedirect.com/science/article/pii/B0080429939001984" TargetMode="External"/><Relationship Id="rId165" Type="http://schemas.openxmlformats.org/officeDocument/2006/relationships/hyperlink" Target="https://www.researchgate.net/publication/233717127_Influence_of_quenching_and_aging_on_residual_stress_in_Al-Zn-Mg-Cu_alloy_7449" TargetMode="External"/><Relationship Id="rId186" Type="http://schemas.openxmlformats.org/officeDocument/2006/relationships/hyperlink" Target="https://www.researchgate.net/publication/235198410_Hardened_Reentry_Vehicle_Development_Program_Erosion-Resistant_Nosetip_Technology" TargetMode="External"/><Relationship Id="rId211" Type="http://schemas.openxmlformats.org/officeDocument/2006/relationships/hyperlink" Target="https://ieeexplore.ieee.org/document/7756341" TargetMode="External"/><Relationship Id="rId27" Type="http://schemas.openxmlformats.org/officeDocument/2006/relationships/hyperlink" Target="https://en.wikipedia.org/wiki/Adaptive_beamformer" TargetMode="External"/><Relationship Id="rId48" Type="http://schemas.openxmlformats.org/officeDocument/2006/relationships/hyperlink" Target="https://ntrs.nasa.gov/archive/nasa/casi.ntrs.nasa.gov/19670013969.pdf" TargetMode="External"/><Relationship Id="rId69" Type="http://schemas.openxmlformats.org/officeDocument/2006/relationships/hyperlink" Target="https://dod.defense.gov/Portals/1/Documents/pubs/2018-National-Defense-Strategy-Summary.pdf" TargetMode="External"/><Relationship Id="rId113" Type="http://schemas.openxmlformats.org/officeDocument/2006/relationships/hyperlink" Target="https://arxiv.org/pdf/1601.04187.pdf" TargetMode="External"/><Relationship Id="rId134" Type="http://schemas.openxmlformats.org/officeDocument/2006/relationships/hyperlink" Target="https://arxiv.org/pdf/cs/9605103.pdf" TargetMode="External"/><Relationship Id="rId80" Type="http://schemas.openxmlformats.org/officeDocument/2006/relationships/hyperlink" Target="http://everyspec.com/MIL-STD/MIL-STD-0300-0499/MIL-STD-461G_53571/" TargetMode="External"/><Relationship Id="rId155" Type="http://schemas.openxmlformats.org/officeDocument/2006/relationships/hyperlink" Target="http://www.wireropetechnicalboard.org/main_prod.html" TargetMode="External"/><Relationship Id="rId176" Type="http://schemas.openxmlformats.org/officeDocument/2006/relationships/hyperlink" Target="https://www.semanticscholar.org/paper/A-1-k-Pixel-Video-Camera-for-0.7&#8211;1.1-Terahertz-in-Hadi-Sherry/4794675927847b4dc49105f9e9467e05e4bdc8a4" TargetMode="External"/><Relationship Id="rId197" Type="http://schemas.openxmlformats.org/officeDocument/2006/relationships/hyperlink" Target="https://www.sciencedirect.com/science/article/pii/S1005030217302840" TargetMode="External"/><Relationship Id="rId201" Type="http://schemas.openxmlformats.org/officeDocument/2006/relationships/hyperlink" Target="http://acqnotes.com/wp-content/uploads/2014/09/OSD-Guide-to-Best-Practices-Using-Engineering-Standards-2017.pdf" TargetMode="External"/><Relationship Id="rId222" Type="http://schemas.openxmlformats.org/officeDocument/2006/relationships/hyperlink" Target="https://doi.org/10.1063/1.1696100" TargetMode="External"/><Relationship Id="rId17" Type="http://schemas.openxmlformats.org/officeDocument/2006/relationships/hyperlink" Target="https://www.navysbirprogram.com/navydeliverables/" TargetMode="External"/><Relationship Id="rId38" Type="http://schemas.openxmlformats.org/officeDocument/2006/relationships/hyperlink" Target="https://media.defense.noclick_gov/2019/Oct/31/2002204458/-1/-1/0/DIB_AI_PRINCIPLES_PRIMARY_DOCUMENT.PDF" TargetMode="External"/><Relationship Id="rId59" Type="http://schemas.openxmlformats.org/officeDocument/2006/relationships/hyperlink" Target="https://www.cs.colorado.edu/~martin/SLP/Updates/1.pdf" TargetMode="External"/><Relationship Id="rId103" Type="http://schemas.openxmlformats.org/officeDocument/2006/relationships/hyperlink" Target="https://nvd.nist.gov/800-53/Rev4/control/IA-SC-28" TargetMode="External"/><Relationship Id="rId124" Type="http://schemas.openxmlformats.org/officeDocument/2006/relationships/hyperlink" Target="https://ieeexplore.ieee.org/document/6638294" TargetMode="External"/><Relationship Id="rId70" Type="http://schemas.openxmlformats.org/officeDocument/2006/relationships/hyperlink" Target="https://ntrs.nasa.gov/archive/nasa/casi.ntrs.nasa.gov/19960012183.pdf" TargetMode="External"/><Relationship Id="rId91" Type="http://schemas.openxmlformats.org/officeDocument/2006/relationships/hyperlink" Target="https://www.spiedigitallibrary.org/conference-proceedings-of-spie/9829/98291S/Distributed-transmit-beamforming-on-mobile-platforms-using-high-accuracy-microwave/10.1117/12.2231793.short?SSO=1" TargetMode="External"/><Relationship Id="rId145" Type="http://schemas.openxmlformats.org/officeDocument/2006/relationships/hyperlink" Target="https://ieeexplore.ieee.org/document/6931715" TargetMode="External"/><Relationship Id="rId166" Type="http://schemas.openxmlformats.org/officeDocument/2006/relationships/hyperlink" Target="https://www.researchgate.net/publication/267900582_Computational_Modeling_and_Optimization_of_Residual_Stress_for_Large_Structural_Forgings" TargetMode="External"/><Relationship Id="rId187" Type="http://schemas.openxmlformats.org/officeDocument/2006/relationships/hyperlink" Target="https://arc.aiaa.org/doi/abs/10.2514/6.2015-1122" TargetMode="External"/><Relationship Id="rId1" Type="http://schemas.openxmlformats.org/officeDocument/2006/relationships/customXml" Target="../customXml/item1.xml"/><Relationship Id="rId212" Type="http://schemas.openxmlformats.org/officeDocument/2006/relationships/hyperlink" Target="https://doi.org/10.1088/1361-6463/ab3367" TargetMode="External"/><Relationship Id="rId28" Type="http://schemas.openxmlformats.org/officeDocument/2006/relationships/hyperlink" Target="https://www.dpamicrophones.com/mic-university/facts-about-speech-intelligibility" TargetMode="External"/><Relationship Id="rId49" Type="http://schemas.openxmlformats.org/officeDocument/2006/relationships/hyperlink" Target="https://us.artechhouse.com/EW-104-Electronic-Warfare-Against-a-New-Generation-of-Threats-P1707.aspx" TargetMode="External"/><Relationship Id="rId114" Type="http://schemas.openxmlformats.org/officeDocument/2006/relationships/hyperlink" Target="https://arxiv.org/pdf/1603.08270.pdf" TargetMode="External"/><Relationship Id="rId60" Type="http://schemas.openxmlformats.org/officeDocument/2006/relationships/hyperlink" Target="https://www.ida.liu.se/~729A15/mtrl/shared_mental-models_mathieu.pdf" TargetMode="External"/><Relationship Id="rId81" Type="http://schemas.openxmlformats.org/officeDocument/2006/relationships/hyperlink" Target="http://everyspec.com/MIL-STD/MIL-STD-0300-0499/MIL-STD-464C_28312/" TargetMode="External"/><Relationship Id="rId135" Type="http://schemas.openxmlformats.org/officeDocument/2006/relationships/hyperlink" Target="https://dspace.mit.edu/handle/1721.1/90287" TargetMode="External"/><Relationship Id="rId156" Type="http://schemas.openxmlformats.org/officeDocument/2006/relationships/hyperlink" Target="http://everyspec.com/MIL-STD/MIL-STD-0800-0899/MIL-STD-810H_55998/" TargetMode="External"/><Relationship Id="rId177" Type="http://schemas.openxmlformats.org/officeDocument/2006/relationships/hyperlink" Target="https://www.spiedigitallibrary.org/journals/Optical-Engineering/volume-56/issue-01/010901/Review-of-terahertz-photoconductive-antenna-technology/10.1117/1.OE.56.1.010901.full?SSO=1" TargetMode="External"/><Relationship Id="rId198" Type="http://schemas.openxmlformats.org/officeDocument/2006/relationships/hyperlink" Target="https://www.secnav.navy.mil/doni/Directives/05000%20General%20Management%20Security%20and%20Safety%20Services/05-100%20Safety%20and%20Occupational%20Health%20Services/5100.19F.pdf" TargetMode="External"/><Relationship Id="rId202" Type="http://schemas.openxmlformats.org/officeDocument/2006/relationships/hyperlink" Target="https://ideas.repec.org/a/eee/proeco/v176y2016icp98-110.html" TargetMode="External"/><Relationship Id="rId223" Type="http://schemas.openxmlformats.org/officeDocument/2006/relationships/footer" Target="footer2.xml"/><Relationship Id="rId18" Type="http://schemas.openxmlformats.org/officeDocument/2006/relationships/hyperlink" Target="https://navystp.com" TargetMode="External"/><Relationship Id="rId39" Type="http://schemas.openxmlformats.org/officeDocument/2006/relationships/hyperlink" Target="https://pdfs.semanticscholar.org/26b3/0eab984c8c5c31e9a18e75b4ac4c52b1c14c.pdf" TargetMode="External"/><Relationship Id="rId50" Type="http://schemas.openxmlformats.org/officeDocument/2006/relationships/hyperlink" Target="https://www.springer.com/us/book/9780792396772" TargetMode="External"/><Relationship Id="rId104" Type="http://schemas.openxmlformats.org/officeDocument/2006/relationships/hyperlink" Target="https://public.cyber.mil/stigs/" TargetMode="External"/><Relationship Id="rId125" Type="http://schemas.openxmlformats.org/officeDocument/2006/relationships/hyperlink" Target="http://everyspec.com/MIL-STD/MIL-STD-0800-0899/MIL-STD-810H_55998/" TargetMode="External"/><Relationship Id="rId146" Type="http://schemas.openxmlformats.org/officeDocument/2006/relationships/hyperlink" Target="https://ieeexplore.ieee.org/document/8558592" TargetMode="External"/><Relationship Id="rId167" Type="http://schemas.openxmlformats.org/officeDocument/2006/relationships/hyperlink" Target="https://www.researchgate.net/publication/275129961_Finite_element_analysis_of_quenching_temperature_field_residual_stress_and_distortion_in_A357_aluminum_alloy_large_complicated_thin-wall_workpieces" TargetMode="External"/><Relationship Id="rId188" Type="http://schemas.openxmlformats.org/officeDocument/2006/relationships/hyperlink" Target="https://www.amazon.com/THERMAL-PROTECTION-DURING-IMMERSION-WATER/dp/B00A1019DG" TargetMode="External"/><Relationship Id="rId71" Type="http://schemas.openxmlformats.org/officeDocument/2006/relationships/hyperlink" Target="https://doi.org/10.1115/1.3269326" TargetMode="External"/><Relationship Id="rId92" Type="http://schemas.openxmlformats.org/officeDocument/2006/relationships/hyperlink" Target="https://ieeexplore.ieee.org/document/7034405" TargetMode="External"/><Relationship Id="rId213" Type="http://schemas.openxmlformats.org/officeDocument/2006/relationships/hyperlink" Target="https://www.scribd.com/document/439663186/Transition-From-Non-Deformable-Projectile-Penetration-to-Semi-Hydrodynamic-Penetration" TargetMode="External"/><Relationship Id="rId2" Type="http://schemas.openxmlformats.org/officeDocument/2006/relationships/customXml" Target="../customXml/item2.xml"/><Relationship Id="rId29" Type="http://schemas.openxmlformats.org/officeDocument/2006/relationships/hyperlink" Target="https://www.gpsworld.com/defensenavigationaugmented-reality-precision-navigation-13032/" TargetMode="External"/><Relationship Id="rId40" Type="http://schemas.openxmlformats.org/officeDocument/2006/relationships/hyperlink" Target="https://www.jcs.mil/Portals/36/Documents/Doctrine/concepts/cross_domain_planning_guide.pdf?ver=2017-12-28-161956-230" TargetMode="External"/><Relationship Id="rId115" Type="http://schemas.openxmlformats.org/officeDocument/2006/relationships/hyperlink" Target="https://dod.defense.gov/Portals/1/Documents/pubs/2018-National-Defense-Strategy-Summary.pdf" TargetMode="External"/><Relationship Id="rId136" Type="http://schemas.openxmlformats.org/officeDocument/2006/relationships/hyperlink" Target="http://citeseerx.ist.psu.edu/viewdoc/download?doi=10.1.1.614.2182&amp;rep=rep1&amp;type=pdf" TargetMode="External"/><Relationship Id="rId157" Type="http://schemas.openxmlformats.org/officeDocument/2006/relationships/hyperlink" Target="https://apps.dtic.mil/dtic/tr/fulltext/u2/a955305.pdf" TargetMode="External"/><Relationship Id="rId178" Type="http://schemas.openxmlformats.org/officeDocument/2006/relationships/hyperlink" Target="https://openai.com/blog/better-language-models/" TargetMode="External"/><Relationship Id="rId61" Type="http://schemas.openxmlformats.org/officeDocument/2006/relationships/hyperlink" Target="https://www.cs.umd.edu/users/ben/papers/Shneiderman2000limits.pdf" TargetMode="External"/><Relationship Id="rId82" Type="http://schemas.openxmlformats.org/officeDocument/2006/relationships/hyperlink" Target="http://everyspec.com/MIL-STD/MIL-STD-0800-0899/MIL-STD-810H_55998/" TargetMode="External"/><Relationship Id="rId199" Type="http://schemas.openxmlformats.org/officeDocument/2006/relationships/hyperlink" Target="https://ieeexplore.ieee.org/document/1296142" TargetMode="External"/><Relationship Id="rId203" Type="http://schemas.openxmlformats.org/officeDocument/2006/relationships/hyperlink" Target="https://web.a.ebscohost.com/abstract?direct=true&amp;profile=ehost&amp;scope=site&amp;authtype=crawler&amp;jrnl=10474838&amp;AN=131260349&amp;h=3jz88ui1kQUPOQDuDgvfO%2b9G8MwOEmROzOA313ny5SZmKbUecLq2RBw4UlNYf8Tjqcs2fecFbTrQkw7IIUouQQ%3d%3d&amp;crl=c&amp;resultNs=AdminWebAuth&amp;resultLocal=ErrCrlNotAuth&amp;crlhashurl=login.aspx%3fdirect%3dtrue%26profile%3dehost%26scope%3dsite%26authtype%3dcrawler%26jrnl%3d10474838%26AN%3d131260349" TargetMode="External"/><Relationship Id="rId19" Type="http://schemas.openxmlformats.org/officeDocument/2006/relationships/hyperlink" Target="https://www.navysbirprogram.com/navydeliverables/" TargetMode="External"/><Relationship Id="rId224" Type="http://schemas.openxmlformats.org/officeDocument/2006/relationships/fontTable" Target="fontTable.xml"/><Relationship Id="rId30" Type="http://schemas.openxmlformats.org/officeDocument/2006/relationships/hyperlink" Target="https://www.propublica.org/article/iran-has-hundreds-of-naval-mines-us-navy-minesweepers-find-old-dishwashers-car-parts" TargetMode="External"/><Relationship Id="rId105" Type="http://schemas.openxmlformats.org/officeDocument/2006/relationships/hyperlink" Target="https://nvlpubs.nist.gov/nistpubs/ir/2017/NIST.IR.8176.pdf" TargetMode="External"/><Relationship Id="rId126" Type="http://schemas.openxmlformats.org/officeDocument/2006/relationships/hyperlink" Target="http://everyspec.com/MIL-STD/MIL-STD-0700-0799/MIL-STD-704F_1083/" TargetMode="External"/><Relationship Id="rId147" Type="http://schemas.openxmlformats.org/officeDocument/2006/relationships/hyperlink" Target="https://ieeexplore.ieee.org/document/8609182" TargetMode="External"/><Relationship Id="rId168" Type="http://schemas.openxmlformats.org/officeDocument/2006/relationships/hyperlink" Target="https://news.stanford.edu/2019/03/18/new-way-generate-hydrogen-fuel-seawater/" TargetMode="External"/><Relationship Id="rId51" Type="http://schemas.openxmlformats.org/officeDocument/2006/relationships/hyperlink" Target="https://vtol.org/store/product/demonstration-of-aviation-mishap-reconstruction-with-onboard-crash-recording-technologies-12040.cfm" TargetMode="External"/><Relationship Id="rId72" Type="http://schemas.openxmlformats.org/officeDocument/2006/relationships/hyperlink" Target="http://www.onepetro.org/conference-paper/ISRM-10CONGRESS-2003-035" TargetMode="External"/><Relationship Id="rId93" Type="http://schemas.openxmlformats.org/officeDocument/2006/relationships/hyperlink" Target="https://ieeexplore.ieee.org/abstract/document/8742232" TargetMode="External"/><Relationship Id="rId189" Type="http://schemas.openxmlformats.org/officeDocument/2006/relationships/hyperlink" Target="http://archive.rubicon-foundation.org/xmlui/bitstream/handle/123456789/3356/NEDU_1979_13.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4" ma:contentTypeDescription="Create a new document." ma:contentTypeScope="" ma:versionID="02e4fac62c736be166809dda3b1d0714">
  <xsd:schema xmlns:xsd="http://www.w3.org/2001/XMLSchema" xmlns:xs="http://www.w3.org/2001/XMLSchema" xmlns:p="http://schemas.microsoft.com/office/2006/metadata/properties" xmlns:ns3="a4ac2a47-7ee5-49d8-ac3c-5cc35d543a8d" targetNamespace="http://schemas.microsoft.com/office/2006/metadata/properties" ma:root="true" ma:fieldsID="da721a9617d31353497650a77f067083" ns3:_="">
    <xsd:import namespace="a4ac2a47-7ee5-49d8-ac3c-5cc35d543a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D2385-4B33-4662-9026-2C32AF6AE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4.xml><?xml version="1.0" encoding="utf-8"?>
<ds:datastoreItem xmlns:ds="http://schemas.openxmlformats.org/officeDocument/2006/customXml" ds:itemID="{EA264CEA-88C5-4CFD-BDED-F6309C97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147</Pages>
  <Words>64831</Words>
  <Characters>369542</Characters>
  <Application>Microsoft Office Word</Application>
  <DocSecurity>0</DocSecurity>
  <Lines>3079</Lines>
  <Paragraphs>867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433506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171</cp:revision>
  <cp:lastPrinted>2019-08-19T20:20:00Z</cp:lastPrinted>
  <dcterms:created xsi:type="dcterms:W3CDTF">2020-04-07T18:17:00Z</dcterms:created>
  <dcterms:modified xsi:type="dcterms:W3CDTF">2020-06-11T15:59:00Z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